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4DB6" w14:textId="53052C46" w:rsidR="00446ACA" w:rsidRPr="00E46E2E" w:rsidRDefault="00E46E2E" w:rsidP="00E46E2E">
      <w:pPr>
        <w:jc w:val="center"/>
        <w:rPr>
          <w:b/>
          <w:u w:val="single"/>
        </w:rPr>
      </w:pPr>
      <w:r>
        <w:rPr>
          <w:b/>
        </w:rPr>
        <w:t xml:space="preserve">English Language Arts, </w:t>
      </w:r>
      <w:r w:rsidRPr="00630661">
        <w:rPr>
          <w:b/>
          <w:i/>
          <w:iCs/>
        </w:rPr>
        <w:t>Introduction to Writing</w:t>
      </w:r>
      <w:r w:rsidRPr="00305CED">
        <w:rPr>
          <w:b/>
          <w:i/>
        </w:rPr>
        <w:t xml:space="preserve"> Sentence</w:t>
      </w:r>
      <w:r>
        <w:rPr>
          <w:b/>
          <w:i/>
        </w:rPr>
        <w:t>s</w:t>
      </w:r>
      <w:r>
        <w:rPr>
          <w:b/>
        </w:rPr>
        <w:t>, Lesson 1</w:t>
      </w:r>
      <w:r w:rsidR="007F272B">
        <w:rPr>
          <w:b/>
        </w:rPr>
        <w:t>3</w:t>
      </w:r>
      <w:r>
        <w:rPr>
          <w:b/>
        </w:rPr>
        <w:t xml:space="preserve">: </w:t>
      </w:r>
      <w:r>
        <w:rPr>
          <w:b/>
          <w:i/>
        </w:rPr>
        <w:t>The Relative Clause; What Is a Relative Pronoun and How Does It Introduce a Relative Clause?</w:t>
      </w:r>
      <w:r>
        <w:rPr>
          <w:b/>
        </w:rPr>
        <w:t xml:space="preserve"> </w:t>
      </w:r>
      <w:r w:rsidR="0064130D">
        <w:rPr>
          <w:b/>
        </w:rPr>
        <w:t>Learning Support</w:t>
      </w:r>
      <w:r w:rsidR="00545D70" w:rsidRPr="009C5445">
        <w:rPr>
          <w:b/>
        </w:rPr>
        <w:t xml:space="preserve">: </w:t>
      </w:r>
      <w:r w:rsidR="00545D70" w:rsidRPr="009C5445">
        <w:rPr>
          <w:b/>
          <w:i/>
        </w:rPr>
        <w:t>Restrictive and Nonrestrictive Clauses</w:t>
      </w:r>
    </w:p>
    <w:p w14:paraId="6936071F" w14:textId="77777777" w:rsidR="00545D70" w:rsidRDefault="00545D70" w:rsidP="00545D70">
      <w:pPr>
        <w:jc w:val="center"/>
        <w:rPr>
          <w:b/>
        </w:rPr>
      </w:pPr>
    </w:p>
    <w:p w14:paraId="58BC1F74" w14:textId="77777777" w:rsidR="00581E4B" w:rsidRDefault="00581E4B" w:rsidP="00581E4B">
      <w:r>
        <w:rPr>
          <w:b/>
        </w:rPr>
        <w:t xml:space="preserve">17.17 </w:t>
      </w:r>
      <w:r>
        <w:rPr>
          <w:b/>
          <w:i/>
        </w:rPr>
        <w:t xml:space="preserve">That </w:t>
      </w:r>
      <w:r>
        <w:rPr>
          <w:b/>
        </w:rPr>
        <w:t xml:space="preserve">versus </w:t>
      </w:r>
      <w:r>
        <w:rPr>
          <w:b/>
          <w:i/>
        </w:rPr>
        <w:t>Which</w:t>
      </w:r>
    </w:p>
    <w:p w14:paraId="440F9442" w14:textId="77777777" w:rsidR="00581E4B" w:rsidRDefault="00581E4B" w:rsidP="00581E4B"/>
    <w:p w14:paraId="24B79021" w14:textId="79BE20FB" w:rsidR="00581E4B" w:rsidRDefault="00581E4B" w:rsidP="00581E4B">
      <w:r>
        <w:t>There is a subtle distinction between</w:t>
      </w:r>
      <w:r w:rsidRPr="00007EAA">
        <w:rPr>
          <w:i/>
        </w:rPr>
        <w:t xml:space="preserve"> that</w:t>
      </w:r>
      <w:r>
        <w:t xml:space="preserve"> and </w:t>
      </w:r>
      <w:r w:rsidRPr="00007EAA">
        <w:rPr>
          <w:i/>
        </w:rPr>
        <w:t xml:space="preserve">which </w:t>
      </w:r>
      <w:r>
        <w:t>that is largely followed only in forma</w:t>
      </w:r>
      <w:r w:rsidR="00186FE3">
        <w:t>l</w:t>
      </w:r>
      <w:r>
        <w:t xml:space="preserve"> English in the United States</w:t>
      </w:r>
      <w:r w:rsidR="009C5445">
        <w:t xml:space="preserve"> </w:t>
      </w:r>
      <w:r>
        <w:t>and is frequently not followed in the United States or much at all in the United Kingdom. Knowing this distinction can help add a bit of clarity to your writing; however, you may find when this distinction is not observed, no harm is done.</w:t>
      </w:r>
    </w:p>
    <w:p w14:paraId="312107E6" w14:textId="77777777" w:rsidR="00581E4B" w:rsidRDefault="00581E4B" w:rsidP="00581E4B">
      <w:r>
        <w:tab/>
        <w:t xml:space="preserve">Just as much confusion comes from not being certain where, or if, to place commas as it does from not being certain whether to use </w:t>
      </w:r>
      <w:r w:rsidRPr="00007EAA">
        <w:rPr>
          <w:i/>
        </w:rPr>
        <w:t>that</w:t>
      </w:r>
      <w:r>
        <w:t xml:space="preserve"> or </w:t>
      </w:r>
      <w:r w:rsidRPr="00007EAA">
        <w:rPr>
          <w:i/>
        </w:rPr>
        <w:t>which</w:t>
      </w:r>
      <w:r>
        <w:t>. Even more confusion comes about because the two words are often interchangeable.</w:t>
      </w:r>
    </w:p>
    <w:p w14:paraId="5B38C816" w14:textId="77777777" w:rsidR="00581E4B" w:rsidRDefault="00581E4B" w:rsidP="00581E4B">
      <w:r>
        <w:tab/>
        <w:t>Generally, we use</w:t>
      </w:r>
      <w:r w:rsidRPr="00007EAA">
        <w:rPr>
          <w:i/>
        </w:rPr>
        <w:t xml:space="preserve"> that</w:t>
      </w:r>
      <w:r>
        <w:t xml:space="preserve"> with restrictive clauses and </w:t>
      </w:r>
      <w:r w:rsidRPr="00007EAA">
        <w:rPr>
          <w:i/>
        </w:rPr>
        <w:t xml:space="preserve">which </w:t>
      </w:r>
      <w:r>
        <w:t>with nonrestrictive clauses. Restrictive clauses limit and provide details about the subject.</w:t>
      </w:r>
    </w:p>
    <w:p w14:paraId="2C60E369" w14:textId="77777777" w:rsidR="00581E4B" w:rsidRDefault="00581E4B" w:rsidP="00581E4B"/>
    <w:p w14:paraId="1C0110CF" w14:textId="77777777" w:rsidR="00581E4B" w:rsidRPr="00007EAA" w:rsidRDefault="00581E4B" w:rsidP="00581E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The house </w:t>
      </w:r>
      <w:r w:rsidRPr="00007EAA">
        <w:rPr>
          <w:rFonts w:ascii="Times New Roman" w:hAnsi="Times New Roman" w:cs="Times New Roman"/>
          <w:i/>
        </w:rPr>
        <w:t>that</w:t>
      </w:r>
      <w:r>
        <w:rPr>
          <w:rFonts w:ascii="Times New Roman" w:hAnsi="Times New Roman" w:cs="Times New Roman"/>
        </w:rPr>
        <w:t xml:space="preserve"> is being build will belong to the mayor.</w:t>
      </w:r>
    </w:p>
    <w:p w14:paraId="6FEE8A9F" w14:textId="77777777" w:rsidR="00581E4B" w:rsidRPr="00007EAA" w:rsidRDefault="00581E4B" w:rsidP="00581E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Any car</w:t>
      </w:r>
      <w:r w:rsidRPr="00007EAA">
        <w:rPr>
          <w:rFonts w:ascii="Times New Roman" w:hAnsi="Times New Roman" w:cs="Times New Roman"/>
          <w:i/>
        </w:rPr>
        <w:t xml:space="preserve"> that</w:t>
      </w:r>
      <w:r>
        <w:rPr>
          <w:rFonts w:ascii="Times New Roman" w:hAnsi="Times New Roman" w:cs="Times New Roman"/>
        </w:rPr>
        <w:t xml:space="preserve"> you see is for sale.</w:t>
      </w:r>
    </w:p>
    <w:p w14:paraId="2D48E329" w14:textId="77777777" w:rsidR="00581E4B" w:rsidRDefault="00581E4B" w:rsidP="00581E4B"/>
    <w:p w14:paraId="603F56DD" w14:textId="77777777" w:rsidR="00581E4B" w:rsidRDefault="00581E4B" w:rsidP="00581E4B">
      <w:r>
        <w:t>A nonrestrictive clause explains something about the subject but doesn’t wholly define it.</w:t>
      </w:r>
    </w:p>
    <w:p w14:paraId="78F4343F" w14:textId="77777777" w:rsidR="00581E4B" w:rsidRDefault="00581E4B" w:rsidP="00581E4B"/>
    <w:p w14:paraId="4B855E88" w14:textId="77777777" w:rsidR="00581E4B" w:rsidRPr="00007EAA" w:rsidRDefault="00581E4B" w:rsidP="00581E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The book, </w:t>
      </w:r>
      <w:r w:rsidRPr="00007EAA">
        <w:rPr>
          <w:rFonts w:ascii="Times New Roman" w:hAnsi="Times New Roman" w:cs="Times New Roman"/>
          <w:i/>
        </w:rPr>
        <w:t>which</w:t>
      </w:r>
      <w:r>
        <w:rPr>
          <w:rFonts w:ascii="Times New Roman" w:hAnsi="Times New Roman" w:cs="Times New Roman"/>
        </w:rPr>
        <w:t xml:space="preserve"> I had borrowed from the library, landed in a puddle.</w:t>
      </w:r>
    </w:p>
    <w:p w14:paraId="568854CE" w14:textId="77777777" w:rsidR="00581E4B" w:rsidRPr="00007EAA" w:rsidRDefault="00581E4B" w:rsidP="00581E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The coat</w:t>
      </w:r>
      <w:r w:rsidRPr="00007EAA">
        <w:rPr>
          <w:rFonts w:ascii="Times New Roman" w:hAnsi="Times New Roman" w:cs="Times New Roman"/>
          <w:i/>
        </w:rPr>
        <w:t>, which</w:t>
      </w:r>
      <w:r>
        <w:rPr>
          <w:rFonts w:ascii="Times New Roman" w:hAnsi="Times New Roman" w:cs="Times New Roman"/>
        </w:rPr>
        <w:t xml:space="preserve"> I found at a thrift store, kept me warm all winter.</w:t>
      </w:r>
    </w:p>
    <w:p w14:paraId="472A5507" w14:textId="77777777" w:rsidR="00581E4B" w:rsidRDefault="00581E4B" w:rsidP="00581E4B">
      <w:pPr>
        <w:rPr>
          <w:b/>
        </w:rPr>
      </w:pPr>
    </w:p>
    <w:p w14:paraId="3E0CC07D" w14:textId="77777777" w:rsidR="00581E4B" w:rsidRPr="00007EAA" w:rsidRDefault="00581E4B" w:rsidP="00581E4B">
      <w:pPr>
        <w:ind w:firstLine="720"/>
      </w:pPr>
      <w:r>
        <w:t xml:space="preserve">When using </w:t>
      </w:r>
      <w:r w:rsidRPr="00007EAA">
        <w:rPr>
          <w:i/>
        </w:rPr>
        <w:t>which</w:t>
      </w:r>
      <w:r>
        <w:t xml:space="preserve"> in a nonrestrictive clause, it is usually part of a phrase that is set off from the rest of the sentence by commas or other punctuation.</w:t>
      </w:r>
    </w:p>
    <w:p w14:paraId="0A41582D" w14:textId="77777777" w:rsidR="00581E4B" w:rsidRDefault="00581E4B" w:rsidP="00581E4B">
      <w:pPr>
        <w:ind w:left="720"/>
      </w:pPr>
    </w:p>
    <w:p w14:paraId="07E064E2" w14:textId="77777777" w:rsidR="00581E4B" w:rsidRDefault="00581E4B" w:rsidP="00581E4B">
      <w:r>
        <w:rPr>
          <w:b/>
        </w:rPr>
        <w:t xml:space="preserve">Excerpted from: </w:t>
      </w:r>
      <w:r>
        <w:t xml:space="preserve">Barrett, Grant. </w:t>
      </w:r>
      <w:r w:rsidRPr="00876471">
        <w:rPr>
          <w:i/>
        </w:rPr>
        <w:t>Perfect English Grammar: The Indispensable Guide to Excellent Writing and Speaking</w:t>
      </w:r>
      <w:r>
        <w:t>. Berkeley: Zephyros Press, 2016.</w:t>
      </w:r>
    </w:p>
    <w:p w14:paraId="468ADDDC" w14:textId="77777777" w:rsidR="00545D70" w:rsidRPr="00545D70" w:rsidRDefault="00545D70" w:rsidP="00545D70"/>
    <w:sectPr w:rsidR="00545D70" w:rsidRPr="00545D70" w:rsidSect="00C869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109F4"/>
    <w:multiLevelType w:val="hybridMultilevel"/>
    <w:tmpl w:val="851CEBCA"/>
    <w:lvl w:ilvl="0" w:tplc="6E2A9FAE">
      <w:start w:val="16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6498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70"/>
    <w:rsid w:val="00186FE3"/>
    <w:rsid w:val="002338F4"/>
    <w:rsid w:val="0038015A"/>
    <w:rsid w:val="00410E3E"/>
    <w:rsid w:val="00446ACA"/>
    <w:rsid w:val="00457D0E"/>
    <w:rsid w:val="00545D70"/>
    <w:rsid w:val="00581E4B"/>
    <w:rsid w:val="0064130D"/>
    <w:rsid w:val="007F272B"/>
    <w:rsid w:val="00993C25"/>
    <w:rsid w:val="009C5445"/>
    <w:rsid w:val="00A901AC"/>
    <w:rsid w:val="00C869E6"/>
    <w:rsid w:val="00D60C2F"/>
    <w:rsid w:val="00E16D41"/>
    <w:rsid w:val="00E46E2E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87757"/>
  <w15:chartTrackingRefBased/>
  <w15:docId w15:val="{1DA70E14-E80F-7642-BC8B-40C6F6C6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E4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1374</Characters>
  <Application>Microsoft Office Word</Application>
  <DocSecurity>0</DocSecurity>
  <Lines>11</Lines>
  <Paragraphs>3</Paragraphs>
  <ScaleCrop>false</ScaleCrop>
  <Company>Mark's Text Terminal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8</cp:revision>
  <dcterms:created xsi:type="dcterms:W3CDTF">2018-05-09T12:27:00Z</dcterms:created>
  <dcterms:modified xsi:type="dcterms:W3CDTF">2025-02-03T13:42:00Z</dcterms:modified>
</cp:coreProperties>
</file>