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6239F" w14:textId="0B4D7CDE" w:rsidR="007C2C83" w:rsidRPr="00064CDC" w:rsidRDefault="003356AC" w:rsidP="003356AC">
      <w:pPr>
        <w:jc w:val="center"/>
        <w:rPr>
          <w:rStyle w:val="Emphasis"/>
          <w:rFonts w:eastAsia="Times New Roman"/>
          <w:b/>
          <w:iCs w:val="0"/>
          <w:u w:val="none"/>
        </w:rPr>
      </w:pPr>
      <w:r w:rsidRPr="00064CDC">
        <w:rPr>
          <w:rStyle w:val="Emphasis"/>
          <w:rFonts w:eastAsia="Times New Roman"/>
          <w:b/>
          <w:iCs w:val="0"/>
          <w:u w:val="none"/>
        </w:rPr>
        <w:t>Dependent and Independent Clauses Reference Sheet</w:t>
      </w:r>
    </w:p>
    <w:p w14:paraId="29E61EFF" w14:textId="3C328D16" w:rsidR="00A56F82" w:rsidRDefault="007C2C83" w:rsidP="000E0C7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7C2C83">
        <w:rPr>
          <w:rStyle w:val="Emphasis"/>
          <w:rFonts w:eastAsia="Times New Roman"/>
          <w:b/>
          <w:i w:val="0"/>
          <w:u w:val="none"/>
        </w:rPr>
        <w:t xml:space="preserve">When we talk about the sentence, </w:t>
      </w:r>
      <w:r w:rsidRPr="007C2C83">
        <w:rPr>
          <w:rStyle w:val="Emphasis"/>
          <w:rFonts w:eastAsia="Times New Roman"/>
          <w:i w:val="0"/>
          <w:u w:val="none"/>
        </w:rPr>
        <w:t xml:space="preserve">we are talking about the </w:t>
      </w:r>
      <w:r w:rsidRPr="007C2C83">
        <w:rPr>
          <w:rStyle w:val="Emphasis"/>
          <w:rFonts w:eastAsia="Times New Roman"/>
          <w:b/>
          <w:i w:val="0"/>
          <w:u w:val="none"/>
        </w:rPr>
        <w:t>clause</w:t>
      </w:r>
      <w:r w:rsidRPr="007C2C83">
        <w:rPr>
          <w:rStyle w:val="Emphasis"/>
          <w:rFonts w:eastAsia="Times New Roman"/>
          <w:i w:val="0"/>
          <w:u w:val="none"/>
        </w:rPr>
        <w:t xml:space="preserve">, </w:t>
      </w:r>
      <w:r>
        <w:rPr>
          <w:rStyle w:val="Emphasis"/>
          <w:rFonts w:eastAsia="Times New Roman"/>
          <w:i w:val="0"/>
          <w:u w:val="none"/>
        </w:rPr>
        <w:t xml:space="preserve">which, as the </w:t>
      </w:r>
      <w:r w:rsidRPr="007C2C83">
        <w:rPr>
          <w:rStyle w:val="Emphasis"/>
          <w:rFonts w:eastAsia="Times New Roman"/>
          <w:i w:val="0"/>
          <w:u w:val="none"/>
        </w:rPr>
        <w:t>Oxford Dictionary of English defines it, is: “</w:t>
      </w:r>
      <w:r w:rsidRPr="007C2C83">
        <w:rPr>
          <w:u w:val="none"/>
        </w:rPr>
        <w:t xml:space="preserve">A </w:t>
      </w:r>
      <w:hyperlink r:id="rId5" w:history="1">
        <w:r w:rsidRPr="007C2C83">
          <w:rPr>
            <w:u w:val="none"/>
          </w:rPr>
          <w:t>unit</w:t>
        </w:r>
      </w:hyperlink>
      <w:r w:rsidRPr="007C2C83">
        <w:rPr>
          <w:u w:val="none"/>
        </w:rPr>
        <w:t xml:space="preserve"> of </w:t>
      </w:r>
      <w:hyperlink r:id="rId6" w:history="1">
        <w:r w:rsidRPr="007C2C83">
          <w:rPr>
            <w:u w:val="none"/>
          </w:rPr>
          <w:t>grammatical</w:t>
        </w:r>
      </w:hyperlink>
      <w:r w:rsidRPr="007C2C83">
        <w:rPr>
          <w:u w:val="none"/>
        </w:rPr>
        <w:t xml:space="preserve"> </w:t>
      </w:r>
      <w:hyperlink r:id="rId7" w:history="1">
        <w:r w:rsidRPr="007C2C83">
          <w:rPr>
            <w:u w:val="none"/>
          </w:rPr>
          <w:t>organization</w:t>
        </w:r>
      </w:hyperlink>
      <w:r w:rsidRPr="007C2C83">
        <w:rPr>
          <w:u w:val="none"/>
        </w:rPr>
        <w:t xml:space="preserve"> </w:t>
      </w:r>
      <w:hyperlink r:id="rId8" w:history="1">
        <w:r w:rsidRPr="007C2C83">
          <w:rPr>
            <w:u w:val="none"/>
          </w:rPr>
          <w:t>next</w:t>
        </w:r>
      </w:hyperlink>
      <w:r w:rsidRPr="007C2C83">
        <w:rPr>
          <w:u w:val="none"/>
        </w:rPr>
        <w:t xml:space="preserve"> </w:t>
      </w:r>
      <w:hyperlink r:id="rId9" w:history="1">
        <w:r w:rsidRPr="007C2C83">
          <w:rPr>
            <w:u w:val="none"/>
          </w:rPr>
          <w:t>below</w:t>
        </w:r>
      </w:hyperlink>
      <w:r w:rsidRPr="007C2C83">
        <w:rPr>
          <w:u w:val="none"/>
        </w:rPr>
        <w:t xml:space="preserve"> the </w:t>
      </w:r>
      <w:hyperlink r:id="rId10" w:history="1">
        <w:r w:rsidRPr="007C2C83">
          <w:rPr>
            <w:u w:val="none"/>
          </w:rPr>
          <w:t>sentence</w:t>
        </w:r>
      </w:hyperlink>
      <w:r w:rsidRPr="007C2C83">
        <w:rPr>
          <w:u w:val="none"/>
        </w:rPr>
        <w:t xml:space="preserve"> in </w:t>
      </w:r>
      <w:hyperlink r:id="rId11" w:history="1">
        <w:r w:rsidRPr="007C2C83">
          <w:rPr>
            <w:u w:val="none"/>
          </w:rPr>
          <w:t>rank</w:t>
        </w:r>
      </w:hyperlink>
      <w:r w:rsidRPr="007C2C83">
        <w:rPr>
          <w:u w:val="none"/>
        </w:rPr>
        <w:t xml:space="preserve"> and in </w:t>
      </w:r>
      <w:hyperlink r:id="rId12" w:history="1">
        <w:r w:rsidRPr="007C2C83">
          <w:rPr>
            <w:u w:val="none"/>
          </w:rPr>
          <w:t>traditional</w:t>
        </w:r>
      </w:hyperlink>
      <w:r w:rsidRPr="007C2C83">
        <w:rPr>
          <w:u w:val="none"/>
        </w:rPr>
        <w:t xml:space="preserve"> </w:t>
      </w:r>
      <w:hyperlink r:id="rId13" w:history="1">
        <w:r w:rsidRPr="007C2C83">
          <w:rPr>
            <w:u w:val="none"/>
          </w:rPr>
          <w:t>grammar</w:t>
        </w:r>
      </w:hyperlink>
      <w:r w:rsidRPr="007C2C83">
        <w:rPr>
          <w:u w:val="none"/>
        </w:rPr>
        <w:t xml:space="preserve"> </w:t>
      </w:r>
      <w:hyperlink r:id="rId14" w:history="1">
        <w:r w:rsidRPr="007C2C83">
          <w:rPr>
            <w:u w:val="none"/>
          </w:rPr>
          <w:t>said</w:t>
        </w:r>
      </w:hyperlink>
      <w:r w:rsidRPr="007C2C83">
        <w:rPr>
          <w:u w:val="none"/>
        </w:rPr>
        <w:t xml:space="preserve"> to </w:t>
      </w:r>
      <w:hyperlink r:id="rId15" w:history="1">
        <w:r w:rsidRPr="007C2C83">
          <w:rPr>
            <w:u w:val="none"/>
          </w:rPr>
          <w:t>consist of</w:t>
        </w:r>
      </w:hyperlink>
      <w:r w:rsidRPr="007C2C83">
        <w:rPr>
          <w:u w:val="none"/>
        </w:rPr>
        <w:t xml:space="preserve"> a </w:t>
      </w:r>
      <w:hyperlink r:id="rId16" w:history="1">
        <w:r w:rsidRPr="007C2C83">
          <w:rPr>
            <w:u w:val="none"/>
          </w:rPr>
          <w:t>subject</w:t>
        </w:r>
      </w:hyperlink>
      <w:r w:rsidRPr="007C2C83">
        <w:rPr>
          <w:u w:val="none"/>
        </w:rPr>
        <w:t xml:space="preserve"> and </w:t>
      </w:r>
      <w:hyperlink r:id="rId17" w:history="1">
        <w:r w:rsidRPr="007C2C83">
          <w:rPr>
            <w:u w:val="none"/>
          </w:rPr>
          <w:t>predicate</w:t>
        </w:r>
      </w:hyperlink>
      <w:r w:rsidRPr="007C2C83">
        <w:rPr>
          <w:u w:val="none"/>
        </w:rPr>
        <w:t>.</w:t>
      </w:r>
      <w:r>
        <w:rPr>
          <w:u w:val="none"/>
        </w:rPr>
        <w:t xml:space="preserve">” </w:t>
      </w:r>
      <w:r w:rsidR="000E0C71">
        <w:rPr>
          <w:u w:val="none"/>
        </w:rPr>
        <w:t xml:space="preserve">In fact, clauses are sentences, and as their name implies, and </w:t>
      </w:r>
      <w:r w:rsidR="000E0C71" w:rsidRPr="000E0C71">
        <w:rPr>
          <w:b/>
          <w:u w:val="none"/>
        </w:rPr>
        <w:t>independent clause</w:t>
      </w:r>
      <w:r w:rsidR="000E0C71">
        <w:rPr>
          <w:u w:val="none"/>
        </w:rPr>
        <w:t xml:space="preserve"> is a </w:t>
      </w:r>
      <w:r w:rsidR="000E0C71" w:rsidRPr="000E0C71">
        <w:rPr>
          <w:b/>
          <w:u w:val="none"/>
        </w:rPr>
        <w:t>complete sentence</w:t>
      </w:r>
      <w:r w:rsidR="000E0C71">
        <w:rPr>
          <w:u w:val="none"/>
        </w:rPr>
        <w:t xml:space="preserve">; so too is a dependent clause. However, as its name implies, a </w:t>
      </w:r>
      <w:r w:rsidR="000E0C71" w:rsidRPr="000E0C71">
        <w:rPr>
          <w:b/>
          <w:u w:val="none"/>
        </w:rPr>
        <w:t>dependent clause</w:t>
      </w:r>
      <w:r w:rsidR="000E0C71">
        <w:rPr>
          <w:u w:val="none"/>
        </w:rPr>
        <w:t xml:space="preserve"> (because it generally has a subject and predicate) </w:t>
      </w:r>
      <w:r w:rsidR="000E0C71" w:rsidRPr="000E0C71">
        <w:rPr>
          <w:b/>
          <w:u w:val="none"/>
        </w:rPr>
        <w:t>depends upon an independent clause to complete it.</w:t>
      </w:r>
      <w:r w:rsidR="006E02D3">
        <w:rPr>
          <w:b/>
          <w:u w:val="none"/>
        </w:rPr>
        <w:t xml:space="preserve"> </w:t>
      </w:r>
      <w:r w:rsidR="006E02D3">
        <w:rPr>
          <w:u w:val="none"/>
        </w:rPr>
        <w:t>Let’s start with a table of words most commonly used with dependent and independent clauses.</w:t>
      </w:r>
    </w:p>
    <w:p w14:paraId="1AB72C91" w14:textId="77777777" w:rsidR="00064CDC" w:rsidRDefault="00064CDC" w:rsidP="00064CD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i/>
          <w:iCs/>
          <w:u w:val="none"/>
        </w:rPr>
      </w:pPr>
    </w:p>
    <w:p w14:paraId="52BB20D0" w14:textId="7A5B46C7" w:rsidR="006E02D3" w:rsidRPr="00064CDC" w:rsidRDefault="006E02D3" w:rsidP="00064CD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i/>
          <w:iCs/>
          <w:u w:val="none"/>
        </w:rPr>
      </w:pPr>
      <w:r w:rsidRPr="00064CDC">
        <w:rPr>
          <w:b/>
          <w:i/>
          <w:iCs/>
          <w:u w:val="none"/>
        </w:rPr>
        <w:t>Dependent and Independent Clauses Marker Words Reference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130"/>
        <w:gridCol w:w="5670"/>
      </w:tblGrid>
      <w:tr w:rsidR="00EC4223" w14:paraId="5591B025" w14:textId="77777777" w:rsidTr="00EC4223">
        <w:tc>
          <w:tcPr>
            <w:tcW w:w="5130" w:type="dxa"/>
          </w:tcPr>
          <w:p w14:paraId="6C22E436" w14:textId="7AAA262A" w:rsidR="006E02D3" w:rsidRPr="006E02D3" w:rsidRDefault="006E02D3" w:rsidP="006E02D3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Dependent Marker Word: </w:t>
            </w:r>
            <w:r>
              <w:rPr>
                <w:u w:val="none"/>
              </w:rPr>
              <w:t>A dependent marker word is a word added to the beginning of an independent clause that turns it into a dependent clause.</w:t>
            </w:r>
          </w:p>
        </w:tc>
        <w:tc>
          <w:tcPr>
            <w:tcW w:w="5670" w:type="dxa"/>
          </w:tcPr>
          <w:p w14:paraId="1199D51F" w14:textId="5684D60F" w:rsidR="006E02D3" w:rsidRPr="006E02D3" w:rsidRDefault="006E02D3" w:rsidP="006E02D3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Most Commonly Used Dependent Marker Words: </w:t>
            </w:r>
            <w:r>
              <w:rPr>
                <w:u w:val="none"/>
              </w:rPr>
              <w:t xml:space="preserve">After, although, as, as it, because, before, even if, even though, if, in order to, since, though, unless, until, whatever, when, whenever, whether, </w:t>
            </w:r>
            <w:r w:rsidRPr="006E02D3">
              <w:rPr>
                <w:b/>
                <w:u w:val="none"/>
              </w:rPr>
              <w:t xml:space="preserve">and </w:t>
            </w:r>
            <w:r>
              <w:rPr>
                <w:u w:val="none"/>
              </w:rPr>
              <w:t>while</w:t>
            </w:r>
          </w:p>
        </w:tc>
      </w:tr>
      <w:tr w:rsidR="00EC4223" w14:paraId="27C06A57" w14:textId="77777777" w:rsidTr="00EC4223">
        <w:tc>
          <w:tcPr>
            <w:tcW w:w="5130" w:type="dxa"/>
          </w:tcPr>
          <w:p w14:paraId="511F69E3" w14:textId="158F0D4E" w:rsidR="006E02D3" w:rsidRPr="006E02D3" w:rsidRDefault="006E02D3" w:rsidP="006E02D3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Independent Marker Word:  </w:t>
            </w:r>
            <w:r>
              <w:rPr>
                <w:u w:val="none"/>
              </w:rPr>
              <w:t>An independent marker word is a connecting word used at the beginning of an independent clause. These words can a</w:t>
            </w:r>
            <w:r w:rsidR="00DD7221">
              <w:rPr>
                <w:u w:val="none"/>
              </w:rPr>
              <w:t xml:space="preserve">lways begin a sentence that </w:t>
            </w:r>
            <w:r>
              <w:rPr>
                <w:u w:val="none"/>
              </w:rPr>
              <w:t>stand</w:t>
            </w:r>
            <w:r w:rsidR="00DD7221">
              <w:rPr>
                <w:u w:val="none"/>
              </w:rPr>
              <w:t>s</w:t>
            </w:r>
            <w:r>
              <w:rPr>
                <w:u w:val="none"/>
              </w:rPr>
              <w:t xml:space="preserve"> alone. When the </w:t>
            </w:r>
            <w:r w:rsidRPr="00DA544E">
              <w:rPr>
                <w:b/>
                <w:u w:val="none"/>
              </w:rPr>
              <w:t>s</w:t>
            </w:r>
            <w:r w:rsidR="00833EFC" w:rsidRPr="00DA544E">
              <w:rPr>
                <w:b/>
                <w:u w:val="none"/>
              </w:rPr>
              <w:t>econd independent clause</w:t>
            </w:r>
            <w:r w:rsidR="00DA544E">
              <w:rPr>
                <w:u w:val="none"/>
              </w:rPr>
              <w:t xml:space="preserve"> in a sentence</w:t>
            </w:r>
            <w:r w:rsidR="00833EFC">
              <w:rPr>
                <w:u w:val="none"/>
              </w:rPr>
              <w:t xml:space="preserve"> has an independent marker word, a semicolon is needed before the independent marker word.</w:t>
            </w:r>
          </w:p>
        </w:tc>
        <w:tc>
          <w:tcPr>
            <w:tcW w:w="5670" w:type="dxa"/>
          </w:tcPr>
          <w:p w14:paraId="3D2DF944" w14:textId="56D25EF2" w:rsidR="006E02D3" w:rsidRPr="00833EFC" w:rsidRDefault="00833EFC" w:rsidP="00833EFC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Most Commonly Used Independent Marker Words: </w:t>
            </w:r>
            <w:r>
              <w:rPr>
                <w:u w:val="none"/>
              </w:rPr>
              <w:t xml:space="preserve">also, consequently, furthermore, however, moreover, nevertheless, </w:t>
            </w:r>
            <w:r w:rsidRPr="00833EFC">
              <w:rPr>
                <w:b/>
                <w:u w:val="none"/>
              </w:rPr>
              <w:t>and</w:t>
            </w:r>
            <w:r>
              <w:rPr>
                <w:u w:val="none"/>
              </w:rPr>
              <w:t xml:space="preserve"> therefore</w:t>
            </w:r>
          </w:p>
        </w:tc>
      </w:tr>
      <w:tr w:rsidR="00EC4223" w14:paraId="7EC8A7EE" w14:textId="77777777" w:rsidTr="00EC4223">
        <w:tc>
          <w:tcPr>
            <w:tcW w:w="5130" w:type="dxa"/>
          </w:tcPr>
          <w:p w14:paraId="1BBC4DC5" w14:textId="3C925EAD" w:rsidR="006E02D3" w:rsidRPr="00DA544E" w:rsidRDefault="00DA544E" w:rsidP="00372C6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Coordinating Conjunction: </w:t>
            </w:r>
            <w:r w:rsidR="00372C69">
              <w:rPr>
                <w:u w:val="none"/>
              </w:rPr>
              <w:t>Coordinating conjunctions</w:t>
            </w:r>
            <w:r>
              <w:rPr>
                <w:u w:val="none"/>
              </w:rPr>
              <w:t xml:space="preserve"> </w:t>
            </w:r>
            <w:r w:rsidR="00372C69">
              <w:rPr>
                <w:u w:val="none"/>
              </w:rPr>
              <w:t xml:space="preserve">are </w:t>
            </w:r>
            <w:r>
              <w:rPr>
                <w:u w:val="none"/>
              </w:rPr>
              <w:t>used as connecting words</w:t>
            </w:r>
            <w:r w:rsidR="00372C69">
              <w:rPr>
                <w:u w:val="none"/>
              </w:rPr>
              <w:t xml:space="preserve"> at the beginning of an independent clause. When the second independent clause in a sentence begins with a coordinating conjunction, a comma is used before the coordinating conju</w:t>
            </w:r>
            <w:r w:rsidR="00DD7221">
              <w:rPr>
                <w:u w:val="none"/>
              </w:rPr>
              <w:t>n</w:t>
            </w:r>
            <w:r w:rsidR="00372C69">
              <w:rPr>
                <w:u w:val="none"/>
              </w:rPr>
              <w:t>ction.</w:t>
            </w:r>
          </w:p>
        </w:tc>
        <w:tc>
          <w:tcPr>
            <w:tcW w:w="5670" w:type="dxa"/>
          </w:tcPr>
          <w:p w14:paraId="220040F4" w14:textId="2D413B38" w:rsidR="006E02D3" w:rsidRPr="00372C69" w:rsidRDefault="00372C69" w:rsidP="00372C6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u w:val="none"/>
              </w:rPr>
            </w:pPr>
            <w:r>
              <w:rPr>
                <w:b/>
                <w:u w:val="none"/>
              </w:rPr>
              <w:t xml:space="preserve">The Seven Coordinating Conjunctions: </w:t>
            </w:r>
            <w:r>
              <w:rPr>
                <w:u w:val="none"/>
              </w:rPr>
              <w:t xml:space="preserve">and, but, for, or, nor, so </w:t>
            </w:r>
            <w:r w:rsidRPr="00372C69">
              <w:rPr>
                <w:b/>
                <w:u w:val="none"/>
              </w:rPr>
              <w:t>and</w:t>
            </w:r>
            <w:r>
              <w:rPr>
                <w:u w:val="none"/>
              </w:rPr>
              <w:t xml:space="preserve"> yet.</w:t>
            </w:r>
          </w:p>
        </w:tc>
      </w:tr>
    </w:tbl>
    <w:p w14:paraId="1C91FBD2" w14:textId="54BC943D" w:rsidR="0032681C" w:rsidRDefault="0032681C" w:rsidP="00064CD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i/>
          <w:iCs/>
          <w:u w:val="none"/>
        </w:rPr>
      </w:pPr>
      <w:r w:rsidRPr="00064CDC">
        <w:rPr>
          <w:b/>
          <w:i/>
          <w:iCs/>
          <w:u w:val="none"/>
        </w:rPr>
        <w:t>Examples of these Words in Action</w:t>
      </w:r>
    </w:p>
    <w:p w14:paraId="277674B1" w14:textId="7F4FBA8A" w:rsidR="0032681C" w:rsidRDefault="0032681C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F077B6">
        <w:rPr>
          <w:b/>
          <w:u w:val="none"/>
        </w:rPr>
        <w:t>Dependent Marker Word</w:t>
      </w:r>
      <w:r>
        <w:rPr>
          <w:b/>
          <w:u w:val="none"/>
        </w:rPr>
        <w:t>: “</w:t>
      </w:r>
      <w:r w:rsidRPr="0032681C">
        <w:rPr>
          <w:b/>
          <w:u w:val="none"/>
        </w:rPr>
        <w:t>When</w:t>
      </w:r>
      <w:r>
        <w:rPr>
          <w:u w:val="none"/>
        </w:rPr>
        <w:t xml:space="preserve"> Raoul studied at the coffee shop for his chemistry quiz…” (</w:t>
      </w:r>
      <w:r w:rsidRPr="0032681C">
        <w:rPr>
          <w:i/>
          <w:u w:val="none"/>
        </w:rPr>
        <w:t>What happened</w:t>
      </w:r>
      <w:r>
        <w:rPr>
          <w:u w:val="none"/>
        </w:rPr>
        <w:t xml:space="preserve"> when he studied? The thought, and therefore the sentence is incomplete.) The way to finish this sentence would be to add an independent clause: “</w:t>
      </w:r>
      <w:r w:rsidRPr="0032681C">
        <w:rPr>
          <w:b/>
          <w:u w:val="none"/>
        </w:rPr>
        <w:t>When</w:t>
      </w:r>
      <w:r>
        <w:rPr>
          <w:u w:val="none"/>
        </w:rPr>
        <w:t xml:space="preserve"> Raoul studied in the coffee shop for his chemistry quiz, it was very noisy.”</w:t>
      </w:r>
    </w:p>
    <w:p w14:paraId="03B088C2" w14:textId="1D756864" w:rsidR="00A56F82" w:rsidRDefault="0032681C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F077B6">
        <w:rPr>
          <w:b/>
          <w:u w:val="none"/>
        </w:rPr>
        <w:t>Coordinating Conjunction</w:t>
      </w:r>
      <w:r>
        <w:rPr>
          <w:b/>
          <w:u w:val="none"/>
        </w:rPr>
        <w:t>: “</w:t>
      </w:r>
      <w:r>
        <w:rPr>
          <w:u w:val="none"/>
        </w:rPr>
        <w:t>Raoul studied in the coffee shop for his chemistry quiz</w:t>
      </w:r>
      <w:r w:rsidRPr="0032681C">
        <w:rPr>
          <w:b/>
          <w:u w:val="none"/>
        </w:rPr>
        <w:t>, but</w:t>
      </w:r>
      <w:r>
        <w:rPr>
          <w:u w:val="none"/>
        </w:rPr>
        <w:t xml:space="preserve"> it was hard to concentrate because of the noise.”</w:t>
      </w:r>
    </w:p>
    <w:p w14:paraId="3C392338" w14:textId="2CE03F83" w:rsidR="0032681C" w:rsidRDefault="0032681C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b/>
          <w:u w:val="none"/>
        </w:rPr>
        <w:t>In</w:t>
      </w:r>
      <w:r w:rsidRPr="00F077B6">
        <w:rPr>
          <w:b/>
          <w:u w:val="none"/>
        </w:rPr>
        <w:t>dependent Marker Word</w:t>
      </w:r>
      <w:r>
        <w:rPr>
          <w:b/>
          <w:u w:val="none"/>
        </w:rPr>
        <w:t xml:space="preserve">: </w:t>
      </w:r>
      <w:r>
        <w:rPr>
          <w:u w:val="none"/>
        </w:rPr>
        <w:t>“Raoul studied in the coffee shop for his chemistry quiz</w:t>
      </w:r>
      <w:r w:rsidRPr="0032681C">
        <w:rPr>
          <w:b/>
          <w:u w:val="none"/>
        </w:rPr>
        <w:t>;</w:t>
      </w:r>
      <w:r>
        <w:rPr>
          <w:u w:val="none"/>
        </w:rPr>
        <w:t xml:space="preserve"> </w:t>
      </w:r>
      <w:r w:rsidRPr="0032681C">
        <w:rPr>
          <w:b/>
          <w:u w:val="none"/>
        </w:rPr>
        <w:t>however</w:t>
      </w:r>
      <w:r>
        <w:rPr>
          <w:u w:val="none"/>
        </w:rPr>
        <w:t>, it was hard to concentrate because of the noise.”</w:t>
      </w:r>
    </w:p>
    <w:p w14:paraId="29AC81D2" w14:textId="77777777" w:rsidR="00EC4223" w:rsidRDefault="00EC4223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</w:p>
    <w:p w14:paraId="0B1D37F2" w14:textId="7AF7EF04" w:rsidR="008C4E3C" w:rsidRPr="00064CDC" w:rsidRDefault="00F077B6" w:rsidP="00064CD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i/>
          <w:iCs/>
          <w:u w:val="none"/>
        </w:rPr>
      </w:pPr>
      <w:r w:rsidRPr="00064CDC">
        <w:rPr>
          <w:b/>
          <w:i/>
          <w:iCs/>
          <w:u w:val="none"/>
        </w:rPr>
        <w:t>Further Examples of Dependent and Independent Clauses</w:t>
      </w:r>
    </w:p>
    <w:p w14:paraId="313D5300" w14:textId="5BD7DEFA" w:rsidR="00373FF3" w:rsidRPr="00064CDC" w:rsidRDefault="00D705CE" w:rsidP="00D705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  <w:r w:rsidRPr="00064CDC">
        <w:rPr>
          <w:b/>
          <w:u w:val="none"/>
        </w:rPr>
        <w:t>Independent Clauses</w:t>
      </w:r>
    </w:p>
    <w:p w14:paraId="2DE24FA8" w14:textId="27A0EE70" w:rsidR="00373FF3" w:rsidRPr="00373FF3" w:rsidRDefault="00373FF3" w:rsidP="00373FF3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373FF3">
        <w:rPr>
          <w:u w:val="none"/>
        </w:rPr>
        <w:t>An independent clause</w:t>
      </w:r>
      <w:r>
        <w:rPr>
          <w:u w:val="none"/>
        </w:rPr>
        <w:t xml:space="preserve"> makes sense by itself and stands as a separate sentence: </w:t>
      </w:r>
      <w:r>
        <w:rPr>
          <w:b/>
          <w:u w:val="none"/>
        </w:rPr>
        <w:t>I fondled his lapel.</w:t>
      </w:r>
    </w:p>
    <w:p w14:paraId="2C5ECE91" w14:textId="7624E3DE" w:rsidR="00373FF3" w:rsidRPr="00373FF3" w:rsidRDefault="00373FF3" w:rsidP="00373FF3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Two grammatically equivalent independent clauses can, as above, be joined by a coordinating conjunction: </w:t>
      </w:r>
      <w:r>
        <w:rPr>
          <w:b/>
          <w:u w:val="none"/>
        </w:rPr>
        <w:t>I fondled his lapel, and I caressed his socks.</w:t>
      </w:r>
    </w:p>
    <w:p w14:paraId="5513DD7D" w14:textId="6AB14A26" w:rsidR="00373FF3" w:rsidRPr="00972C3F" w:rsidRDefault="00373FF3" w:rsidP="00373FF3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  <w:r>
        <w:rPr>
          <w:u w:val="none"/>
        </w:rPr>
        <w:t xml:space="preserve">The independent clause I fondled his socks stands alone in the first example, and is joined by another independent clause, I caressed his socks, in the second. </w:t>
      </w:r>
      <w:r w:rsidRPr="00972C3F">
        <w:rPr>
          <w:b/>
          <w:u w:val="none"/>
        </w:rPr>
        <w:t>Nota bene these further examples:</w:t>
      </w:r>
    </w:p>
    <w:p w14:paraId="57FB9C8A" w14:textId="6B145D35" w:rsidR="00373FF3" w:rsidRDefault="00373FF3" w:rsidP="00064CDC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I ruffled his hair, and I beseeched him to relent.</w:t>
      </w:r>
    </w:p>
    <w:p w14:paraId="2F1DFA15" w14:textId="6EC757BC" w:rsidR="00373FF3" w:rsidRDefault="00373FF3" w:rsidP="00064CDC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She was kicked by the soft shoe of destiny, and she landed in Wales.</w:t>
      </w:r>
    </w:p>
    <w:p w14:paraId="7473CAD1" w14:textId="1D1EEF60" w:rsidR="00373FF3" w:rsidRDefault="00373FF3" w:rsidP="00064CDC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The mannequin gave the baby vampire her phone number, but knew he’d never call.</w:t>
      </w:r>
    </w:p>
    <w:p w14:paraId="56D09AB1" w14:textId="1E1B9B49" w:rsidR="00972C3F" w:rsidRDefault="00972C3F" w:rsidP="00064CDC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The tycoon snapped his suspenders and he called for another round.</w:t>
      </w:r>
    </w:p>
    <w:p w14:paraId="1BCB5956" w14:textId="599C09C5" w:rsidR="00972C3F" w:rsidRPr="00064CDC" w:rsidRDefault="00972C3F" w:rsidP="00064CDC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Her irony is getting rusty, and her audience is bored.</w:t>
      </w:r>
    </w:p>
    <w:p w14:paraId="18A5F1EF" w14:textId="130D228C" w:rsidR="00373FF3" w:rsidRPr="00064CDC" w:rsidRDefault="00972C3F" w:rsidP="00373FF3">
      <w:pPr>
        <w:pStyle w:val="ListParagraph"/>
        <w:widowControl w:val="0"/>
        <w:numPr>
          <w:ilvl w:val="0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064CDC">
        <w:rPr>
          <w:u w:val="none"/>
        </w:rPr>
        <w:t>He lifted her comatose toe in his palm, and he pronounced her over the scourge.</w:t>
      </w:r>
    </w:p>
    <w:p w14:paraId="7B1DC237" w14:textId="77777777" w:rsidR="00064CDC" w:rsidRDefault="00064CDC" w:rsidP="00D705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</w:p>
    <w:p w14:paraId="0603B202" w14:textId="79F30543" w:rsidR="00972C3F" w:rsidRPr="00064CDC" w:rsidRDefault="00D705CE" w:rsidP="00D705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  <w:r w:rsidRPr="00064CDC">
        <w:rPr>
          <w:b/>
          <w:u w:val="none"/>
        </w:rPr>
        <w:lastRenderedPageBreak/>
        <w:t>Dependent Clauses</w:t>
      </w:r>
    </w:p>
    <w:p w14:paraId="3079B633" w14:textId="523B2637" w:rsidR="00D705CE" w:rsidRPr="00373FF3" w:rsidRDefault="00373FF3" w:rsidP="00373FF3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 w:rsidRPr="00373FF3">
        <w:rPr>
          <w:u w:val="none"/>
        </w:rPr>
        <w:t xml:space="preserve">A dependent clause needs the rest of the sentence  (the independent clause) to complete its meaning; it does have both a subject and verb, but it cannot stand alone. </w:t>
      </w:r>
    </w:p>
    <w:p w14:paraId="045AFD8C" w14:textId="0E691C55" w:rsidR="00373FF3" w:rsidRDefault="00373FF3" w:rsidP="00373FF3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>
        <w:rPr>
          <w:u w:val="none"/>
        </w:rPr>
        <w:t>Th</w:t>
      </w:r>
      <w:r w:rsidR="00972C3F">
        <w:rPr>
          <w:u w:val="none"/>
        </w:rPr>
        <w:t>e linking word (those in the Dependent Marker Words box of your chart above) will usually give you a clear way to identify whether or not you are dealing with a dependent clause.</w:t>
      </w:r>
    </w:p>
    <w:p w14:paraId="0E953D9B" w14:textId="097B719A" w:rsidR="00972C3F" w:rsidRPr="00972C3F" w:rsidRDefault="00972C3F" w:rsidP="00373FF3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  <w:r w:rsidRPr="00972C3F">
        <w:rPr>
          <w:b/>
          <w:u w:val="none"/>
        </w:rPr>
        <w:t>Study these examples:</w:t>
      </w:r>
    </w:p>
    <w:p w14:paraId="7170A51E" w14:textId="07390877" w:rsidR="00972C3F" w:rsidRP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  <w:r w:rsidRPr="00972C3F">
        <w:rPr>
          <w:i/>
          <w:u w:val="none"/>
        </w:rPr>
        <w:t>Before</w:t>
      </w:r>
      <w:r w:rsidRPr="00972C3F">
        <w:rPr>
          <w:u w:val="none"/>
        </w:rPr>
        <w:t xml:space="preserve"> I caressed his socks, I fondled his lapel.</w:t>
      </w:r>
    </w:p>
    <w:p w14:paraId="44FBB419" w14:textId="48C7AB15" w:rsidR="00972C3F" w:rsidRP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  <w:r w:rsidRPr="00972C3F">
        <w:rPr>
          <w:i/>
          <w:u w:val="none"/>
        </w:rPr>
        <w:t>If</w:t>
      </w:r>
      <w:r w:rsidRPr="00972C3F">
        <w:rPr>
          <w:u w:val="none"/>
        </w:rPr>
        <w:t xml:space="preserve"> she capitulates, we will reward her with a lollipop.</w:t>
      </w:r>
    </w:p>
    <w:p w14:paraId="23DF4E32" w14:textId="2CFF2360" w:rsid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  <w:r w:rsidRPr="00972C3F">
        <w:rPr>
          <w:u w:val="none"/>
        </w:rPr>
        <w:t xml:space="preserve">The debutante took to the great outdoors </w:t>
      </w:r>
      <w:r w:rsidRPr="00972C3F">
        <w:rPr>
          <w:i/>
          <w:u w:val="none"/>
        </w:rPr>
        <w:t>as if</w:t>
      </w:r>
      <w:r w:rsidRPr="00972C3F">
        <w:rPr>
          <w:u w:val="none"/>
        </w:rPr>
        <w:t xml:space="preserve"> she’d been raised by wolves</w:t>
      </w:r>
    </w:p>
    <w:p w14:paraId="52FCDCEF" w14:textId="1CBAB889" w:rsid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  <w:r w:rsidRPr="00972C3F">
        <w:rPr>
          <w:i/>
          <w:u w:val="none"/>
        </w:rPr>
        <w:t>After</w:t>
      </w:r>
      <w:r>
        <w:rPr>
          <w:u w:val="none"/>
        </w:rPr>
        <w:t xml:space="preserve"> the podiatrist pounced on her, he buffed her heels and tweaked her toes.</w:t>
      </w:r>
    </w:p>
    <w:p w14:paraId="424627ED" w14:textId="7A684407" w:rsid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  <w:r>
        <w:rPr>
          <w:i/>
          <w:u w:val="none"/>
        </w:rPr>
        <w:t xml:space="preserve">If </w:t>
      </w:r>
      <w:r>
        <w:rPr>
          <w:u w:val="none"/>
        </w:rPr>
        <w:t>this is love, I’ve made a terrible mistake.</w:t>
      </w:r>
    </w:p>
    <w:p w14:paraId="14995DD3" w14:textId="19E75C97" w:rsidR="008C4E3C" w:rsidRPr="00972C3F" w:rsidRDefault="00972C3F" w:rsidP="00972C3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</w:pPr>
      <w:r>
        <w:rPr>
          <w:i/>
          <w:u w:val="none"/>
        </w:rPr>
        <w:t>If</w:t>
      </w:r>
      <w:r>
        <w:rPr>
          <w:u w:val="none"/>
        </w:rPr>
        <w:t xml:space="preserve"> you’ll let out the cat, I’ll let out the last word.</w:t>
      </w:r>
    </w:p>
    <w:p w14:paraId="5AB11462" w14:textId="77777777" w:rsidR="008C4E3C" w:rsidRPr="00972C3F" w:rsidRDefault="008C4E3C" w:rsidP="008C4E3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</w:pPr>
    </w:p>
    <w:p w14:paraId="01304CD5" w14:textId="77777777" w:rsidR="00F077B6" w:rsidRDefault="00F077B6" w:rsidP="00F077B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b/>
        </w:rPr>
      </w:pPr>
    </w:p>
    <w:p w14:paraId="350030AA" w14:textId="3FB0A0F5" w:rsidR="00F077B6" w:rsidRDefault="00F077B6" w:rsidP="00F077B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  <w:r>
        <w:rPr>
          <w:b/>
          <w:u w:val="none"/>
        </w:rPr>
        <w:t>Sources:</w:t>
      </w:r>
    </w:p>
    <w:p w14:paraId="3B9D19E2" w14:textId="77777777" w:rsidR="00064CDC" w:rsidRPr="00064CDC" w:rsidRDefault="00064CDC" w:rsidP="00064CDC">
      <w:pPr>
        <w:rPr>
          <w:u w:val="none"/>
        </w:rPr>
      </w:pPr>
      <w:r w:rsidRPr="00064CDC">
        <w:rPr>
          <w:u w:val="none"/>
        </w:rPr>
        <w:t xml:space="preserve">Barrett, Grant. </w:t>
      </w:r>
      <w:r w:rsidRPr="00064CDC">
        <w:rPr>
          <w:i/>
          <w:iCs/>
          <w:u w:val="none"/>
        </w:rPr>
        <w:t>Perfect English Grammar: The Indispensable Guide to Excellent Writing and Speaking</w:t>
      </w:r>
      <w:r w:rsidRPr="00064CDC">
        <w:rPr>
          <w:u w:val="none"/>
        </w:rPr>
        <w:t xml:space="preserve">. Berkeley: </w:t>
      </w:r>
      <w:proofErr w:type="spellStart"/>
      <w:r w:rsidRPr="00064CDC">
        <w:rPr>
          <w:u w:val="none"/>
        </w:rPr>
        <w:t>Zephyros</w:t>
      </w:r>
      <w:proofErr w:type="spellEnd"/>
      <w:r w:rsidRPr="00064CDC">
        <w:rPr>
          <w:u w:val="none"/>
        </w:rPr>
        <w:t xml:space="preserve"> Press, 2016.</w:t>
      </w:r>
    </w:p>
    <w:p w14:paraId="171FD78E" w14:textId="77777777" w:rsidR="00064CDC" w:rsidRPr="00F077B6" w:rsidRDefault="00064CDC" w:rsidP="00F077B6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</w:p>
    <w:p w14:paraId="1587CB67" w14:textId="3E15B1AA" w:rsidR="00794E76" w:rsidRDefault="00F077B6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>
        <w:rPr>
          <w:u w:val="none"/>
        </w:rPr>
        <w:t>T</w:t>
      </w:r>
      <w:r w:rsidR="00794E76">
        <w:rPr>
          <w:u w:val="none"/>
        </w:rPr>
        <w:t>he Online W</w:t>
      </w:r>
      <w:r>
        <w:rPr>
          <w:u w:val="none"/>
        </w:rPr>
        <w:t xml:space="preserve">riting Lab at Purdue University </w:t>
      </w:r>
      <w:r w:rsidR="00794E76">
        <w:rPr>
          <w:u w:val="none"/>
        </w:rPr>
        <w:t>(</w:t>
      </w:r>
      <w:hyperlink r:id="rId18" w:history="1">
        <w:r w:rsidRPr="002514A9">
          <w:rPr>
            <w:rStyle w:val="Hyperlink"/>
          </w:rPr>
          <w:t>http://owl.english.purdue.edu/owl/resource/598/01/</w:t>
        </w:r>
      </w:hyperlink>
      <w:r w:rsidR="00794E76">
        <w:rPr>
          <w:u w:val="none"/>
        </w:rPr>
        <w:t>)</w:t>
      </w:r>
    </w:p>
    <w:p w14:paraId="54DE75B8" w14:textId="77777777" w:rsidR="00F077B6" w:rsidRDefault="00F077B6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</w:p>
    <w:p w14:paraId="614DA551" w14:textId="13856F51" w:rsidR="00F077B6" w:rsidRPr="00F077B6" w:rsidRDefault="00F077B6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Gordon, Karen Elizabeth. </w:t>
      </w:r>
      <w:r>
        <w:rPr>
          <w:i/>
          <w:u w:val="none"/>
        </w:rPr>
        <w:t>The Deluxe Transitive Vampire</w:t>
      </w:r>
      <w:r>
        <w:rPr>
          <w:u w:val="none"/>
        </w:rPr>
        <w:t>. New York: Pantheon, 1993.</w:t>
      </w:r>
    </w:p>
    <w:p w14:paraId="688FA1CD" w14:textId="77777777" w:rsidR="0032681C" w:rsidRDefault="0032681C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</w:p>
    <w:p w14:paraId="693F214B" w14:textId="77777777" w:rsidR="0032681C" w:rsidRPr="0032681C" w:rsidRDefault="0032681C" w:rsidP="0032681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</w:p>
    <w:p w14:paraId="7DFFAD9E" w14:textId="77777777" w:rsidR="006E02D3" w:rsidRPr="006E02D3" w:rsidRDefault="006E02D3" w:rsidP="006E02D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b/>
        </w:rPr>
      </w:pPr>
    </w:p>
    <w:p w14:paraId="04588FCF" w14:textId="77777777" w:rsidR="006E02D3" w:rsidRDefault="006E02D3" w:rsidP="000E0C7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b/>
          <w:u w:val="none"/>
        </w:rPr>
      </w:pPr>
    </w:p>
    <w:p w14:paraId="5491A741" w14:textId="77777777" w:rsidR="006E02D3" w:rsidRPr="006E02D3" w:rsidRDefault="006E02D3" w:rsidP="000E0C7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u w:val="none"/>
        </w:rPr>
      </w:pPr>
    </w:p>
    <w:p w14:paraId="0FB160B5" w14:textId="206B5636" w:rsidR="007C2C83" w:rsidRPr="007C2C83" w:rsidRDefault="007C2C83" w:rsidP="007C2C83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u w:val="none"/>
        </w:rPr>
      </w:pPr>
    </w:p>
    <w:sectPr w:rsidR="007C2C83" w:rsidRPr="007C2C83" w:rsidSect="00EC42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9566A1"/>
    <w:multiLevelType w:val="hybridMultilevel"/>
    <w:tmpl w:val="BEA084E6"/>
    <w:lvl w:ilvl="0" w:tplc="ACC0ABBC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2352859"/>
    <w:multiLevelType w:val="hybridMultilevel"/>
    <w:tmpl w:val="B0286444"/>
    <w:lvl w:ilvl="0" w:tplc="921CBD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634B38"/>
    <w:multiLevelType w:val="hybridMultilevel"/>
    <w:tmpl w:val="44AE1358"/>
    <w:lvl w:ilvl="0" w:tplc="B2E238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38F"/>
    <w:rsid w:val="00064CDC"/>
    <w:rsid w:val="000E0C71"/>
    <w:rsid w:val="0032681C"/>
    <w:rsid w:val="003356AC"/>
    <w:rsid w:val="00372C69"/>
    <w:rsid w:val="00373FF3"/>
    <w:rsid w:val="00440318"/>
    <w:rsid w:val="006E02D3"/>
    <w:rsid w:val="00794E76"/>
    <w:rsid w:val="007C2C83"/>
    <w:rsid w:val="00833EFC"/>
    <w:rsid w:val="008C4E3C"/>
    <w:rsid w:val="00972C3F"/>
    <w:rsid w:val="00A56F82"/>
    <w:rsid w:val="00CD038F"/>
    <w:rsid w:val="00D1585C"/>
    <w:rsid w:val="00D705CE"/>
    <w:rsid w:val="00DA544E"/>
    <w:rsid w:val="00DD7221"/>
    <w:rsid w:val="00EB4B13"/>
    <w:rsid w:val="00EC4223"/>
    <w:rsid w:val="00F077B6"/>
    <w:rsid w:val="00F67CBA"/>
    <w:rsid w:val="00FC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0B9877F"/>
  <w14:defaultImageDpi w14:val="300"/>
  <w15:docId w15:val="{603B6D56-82B4-6345-B3A1-386FEF656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D038F"/>
    <w:rPr>
      <w:i/>
      <w:iCs/>
    </w:rPr>
  </w:style>
  <w:style w:type="table" w:styleId="TableGrid">
    <w:name w:val="Table Grid"/>
    <w:basedOn w:val="TableNormal"/>
    <w:uiPriority w:val="59"/>
    <w:rsid w:val="006E02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077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73F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ww://next" TargetMode="External"/><Relationship Id="rId13" Type="http://schemas.openxmlformats.org/officeDocument/2006/relationships/hyperlink" Target="ww://grammar" TargetMode="External"/><Relationship Id="rId18" Type="http://schemas.openxmlformats.org/officeDocument/2006/relationships/hyperlink" Target="http://owl.english.purdue.edu/owl/resource/598/01/" TargetMode="External"/><Relationship Id="rId3" Type="http://schemas.openxmlformats.org/officeDocument/2006/relationships/settings" Target="settings.xml"/><Relationship Id="rId7" Type="http://schemas.openxmlformats.org/officeDocument/2006/relationships/hyperlink" Target="ww://organization" TargetMode="External"/><Relationship Id="rId12" Type="http://schemas.openxmlformats.org/officeDocument/2006/relationships/hyperlink" Target="ww://traditional" TargetMode="External"/><Relationship Id="rId17" Type="http://schemas.openxmlformats.org/officeDocument/2006/relationships/hyperlink" Target="ww://predicate" TargetMode="External"/><Relationship Id="rId2" Type="http://schemas.openxmlformats.org/officeDocument/2006/relationships/styles" Target="styles.xml"/><Relationship Id="rId16" Type="http://schemas.openxmlformats.org/officeDocument/2006/relationships/hyperlink" Target="ww://subjec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ww://grammatical" TargetMode="External"/><Relationship Id="rId11" Type="http://schemas.openxmlformats.org/officeDocument/2006/relationships/hyperlink" Target="ww://rank" TargetMode="External"/><Relationship Id="rId5" Type="http://schemas.openxmlformats.org/officeDocument/2006/relationships/hyperlink" Target="ww://unit" TargetMode="External"/><Relationship Id="rId15" Type="http://schemas.openxmlformats.org/officeDocument/2006/relationships/hyperlink" Target="ww://consist%20of" TargetMode="External"/><Relationship Id="rId10" Type="http://schemas.openxmlformats.org/officeDocument/2006/relationships/hyperlink" Target="ww://sentence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ww://below" TargetMode="External"/><Relationship Id="rId14" Type="http://schemas.openxmlformats.org/officeDocument/2006/relationships/hyperlink" Target="ww://sa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743</Words>
  <Characters>4241</Characters>
  <Application>Microsoft Office Word</Application>
  <DocSecurity>0</DocSecurity>
  <Lines>35</Lines>
  <Paragraphs>9</Paragraphs>
  <ScaleCrop>false</ScaleCrop>
  <Company>New York City Department of Education</Company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22</cp:revision>
  <cp:lastPrinted>2012-10-22T18:15:00Z</cp:lastPrinted>
  <dcterms:created xsi:type="dcterms:W3CDTF">2012-10-22T11:30:00Z</dcterms:created>
  <dcterms:modified xsi:type="dcterms:W3CDTF">2021-03-30T12:55:00Z</dcterms:modified>
</cp:coreProperties>
</file>