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366C3" w14:textId="685A0DB8" w:rsidR="004D0984" w:rsidRDefault="004D0984">
      <w:pPr>
        <w:rPr>
          <w:b/>
        </w:rPr>
      </w:pPr>
    </w:p>
    <w:p w14:paraId="08081F3A" w14:textId="04A9083C" w:rsidR="00C37741" w:rsidRDefault="00C37741" w:rsidP="00C37741">
      <w:pPr>
        <w:jc w:val="center"/>
        <w:rPr>
          <w:b/>
          <w:bCs/>
          <w:i/>
          <w:iCs/>
        </w:rPr>
      </w:pPr>
      <w:r w:rsidRPr="004E7BBB">
        <w:rPr>
          <w:b/>
          <w:bCs/>
        </w:rPr>
        <w:t xml:space="preserve">English Language Arts: </w:t>
      </w:r>
      <w:r w:rsidR="003162B7">
        <w:rPr>
          <w:b/>
          <w:bCs/>
          <w:i/>
          <w:iCs/>
        </w:rPr>
        <w:t>Semicolon</w:t>
      </w:r>
      <w:r>
        <w:rPr>
          <w:b/>
          <w:bCs/>
          <w:i/>
          <w:iCs/>
        </w:rPr>
        <w:t xml:space="preserve"> Learning Support </w:t>
      </w:r>
    </w:p>
    <w:p w14:paraId="0E02776C" w14:textId="77777777" w:rsidR="00C37741" w:rsidRDefault="00C37741" w:rsidP="00C37741">
      <w:pPr>
        <w:jc w:val="center"/>
        <w:rPr>
          <w:b/>
          <w:bCs/>
          <w:i/>
          <w:iCs/>
        </w:rPr>
      </w:pPr>
    </w:p>
    <w:p w14:paraId="3C50989A" w14:textId="77777777" w:rsidR="00C37741" w:rsidRDefault="00C37741" w:rsidP="00C37741">
      <w:r>
        <w:rPr>
          <w:b/>
          <w:bCs/>
        </w:rPr>
        <w:t xml:space="preserve">Excerpted from: </w:t>
      </w:r>
      <w:r>
        <w:t xml:space="preserve">Casagrande, June. </w:t>
      </w:r>
      <w:r w:rsidRPr="00EF1ED8">
        <w:rPr>
          <w:i/>
          <w:iCs/>
        </w:rPr>
        <w:t xml:space="preserve">The Best Punctuation Book, Period. </w:t>
      </w:r>
      <w:r>
        <w:t>Berkeley: Ten Speed Press, 2014.</w:t>
      </w:r>
    </w:p>
    <w:p w14:paraId="5247D9A8" w14:textId="2975E157" w:rsidR="00C22F07" w:rsidRDefault="00C22F07" w:rsidP="00C22F07"/>
    <w:p w14:paraId="2A52A23F" w14:textId="5D7A57CE" w:rsidR="00C22F07" w:rsidRPr="00C37741" w:rsidRDefault="00C22F07" w:rsidP="00C22F07">
      <w:pPr>
        <w:rPr>
          <w:b/>
        </w:rPr>
      </w:pPr>
      <w:r w:rsidRPr="00C37741">
        <w:rPr>
          <w:b/>
        </w:rPr>
        <w:t>Semicolon</w:t>
      </w:r>
    </w:p>
    <w:p w14:paraId="39875014" w14:textId="0CE86D4F" w:rsidR="008943D4" w:rsidRPr="00A46C9D" w:rsidRDefault="00A46C9D" w:rsidP="00C22F07">
      <w:r>
        <w:t>The semicolon has two jobs. It connects closely related independent clauses, and it separates items in lists too unwieldy to be made sense of with commas.</w:t>
      </w:r>
    </w:p>
    <w:p w14:paraId="0BBB1DF5" w14:textId="24A59DD2" w:rsidR="008943D4" w:rsidRDefault="008943D4" w:rsidP="00C22F07">
      <w:pPr>
        <w:rPr>
          <w:b/>
        </w:rPr>
      </w:pPr>
      <w:r>
        <w:rPr>
          <w:b/>
        </w:rPr>
        <w:t>Semicolon to Connect Closely Related Independent Clauses</w:t>
      </w:r>
    </w:p>
    <w:p w14:paraId="00A45031" w14:textId="1EED4D82" w:rsidR="00F578C3" w:rsidRDefault="00A46C9D" w:rsidP="00C22F07">
      <w:r>
        <w:t xml:space="preserve">When a writer wants to indicate a degree of separation that is weaker than a </w:t>
      </w:r>
      <w:proofErr w:type="gramStart"/>
      <w:r>
        <w:t>period  and</w:t>
      </w:r>
      <w:proofErr w:type="gramEnd"/>
      <w:r>
        <w:t xml:space="preserve"> that falls between two independent clauses not joined with a conjunction, a semicolon can be used.</w:t>
      </w:r>
    </w:p>
    <w:p w14:paraId="10C340CE" w14:textId="4654A8E3" w:rsidR="00A46C9D" w:rsidRPr="00A46C9D" w:rsidRDefault="00A46C9D" w:rsidP="00A46C9D">
      <w:pPr>
        <w:pStyle w:val="ListParagraph"/>
        <w:numPr>
          <w:ilvl w:val="0"/>
          <w:numId w:val="1"/>
        </w:numPr>
      </w:pPr>
      <w:r>
        <w:rPr>
          <w:i/>
        </w:rPr>
        <w:t>He hated vegetables; peas were the worst.</w:t>
      </w:r>
    </w:p>
    <w:p w14:paraId="440C9E9F" w14:textId="38DFE781" w:rsidR="008943D4" w:rsidRDefault="008943D4" w:rsidP="00C22F07">
      <w:pPr>
        <w:rPr>
          <w:b/>
          <w:i/>
        </w:rPr>
      </w:pPr>
      <w:r w:rsidRPr="008943D4">
        <w:rPr>
          <w:b/>
          <w:i/>
        </w:rPr>
        <w:t xml:space="preserve">Before </w:t>
      </w:r>
      <w:r w:rsidRPr="008943D4">
        <w:rPr>
          <w:b/>
        </w:rPr>
        <w:t>However</w:t>
      </w:r>
      <w:r w:rsidRPr="008943D4">
        <w:rPr>
          <w:b/>
          <w:i/>
        </w:rPr>
        <w:t xml:space="preserve">, </w:t>
      </w:r>
      <w:r w:rsidRPr="008943D4">
        <w:rPr>
          <w:b/>
        </w:rPr>
        <w:t>Therefore</w:t>
      </w:r>
      <w:r w:rsidRPr="008943D4">
        <w:rPr>
          <w:b/>
          <w:i/>
        </w:rPr>
        <w:t xml:space="preserve">, </w:t>
      </w:r>
      <w:r w:rsidRPr="008943D4">
        <w:rPr>
          <w:b/>
        </w:rPr>
        <w:t>Indeed</w:t>
      </w:r>
      <w:r w:rsidRPr="008943D4">
        <w:rPr>
          <w:b/>
          <w:i/>
        </w:rPr>
        <w:t>, and Similar Conjunctive Adverbs</w:t>
      </w:r>
    </w:p>
    <w:p w14:paraId="00C10DF1" w14:textId="2D266356" w:rsidR="00A46C9D" w:rsidRDefault="009550E6" w:rsidP="00C22F07">
      <w:r>
        <w:t xml:space="preserve">When a conjunctive adverb such as </w:t>
      </w:r>
      <w:r w:rsidRPr="009550E6">
        <w:rPr>
          <w:i/>
        </w:rPr>
        <w:t>however</w:t>
      </w:r>
      <w:r>
        <w:t xml:space="preserve">, </w:t>
      </w:r>
      <w:r w:rsidRPr="009550E6">
        <w:rPr>
          <w:i/>
        </w:rPr>
        <w:t>therefore</w:t>
      </w:r>
      <w:r>
        <w:t xml:space="preserve">, </w:t>
      </w:r>
      <w:r w:rsidRPr="009550E6">
        <w:rPr>
          <w:i/>
        </w:rPr>
        <w:t>indeed</w:t>
      </w:r>
      <w:r>
        <w:t xml:space="preserve">, </w:t>
      </w:r>
      <w:r w:rsidRPr="009550E6">
        <w:rPr>
          <w:i/>
        </w:rPr>
        <w:t>accordingly</w:t>
      </w:r>
      <w:r>
        <w:t xml:space="preserve">, </w:t>
      </w:r>
      <w:r w:rsidRPr="009550E6">
        <w:rPr>
          <w:i/>
        </w:rPr>
        <w:t>thus</w:t>
      </w:r>
      <w:r>
        <w:t xml:space="preserve">, </w:t>
      </w:r>
      <w:r w:rsidRPr="009550E6">
        <w:rPr>
          <w:i/>
        </w:rPr>
        <w:t>hence</w:t>
      </w:r>
      <w:r>
        <w:t xml:space="preserve">, or </w:t>
      </w:r>
      <w:r w:rsidRPr="009550E6">
        <w:rPr>
          <w:i/>
        </w:rPr>
        <w:t>besides</w:t>
      </w:r>
      <w:r>
        <w:t xml:space="preserve"> connects two closely related independent clauses, book-editing style calls for a semicolon.</w:t>
      </w:r>
    </w:p>
    <w:p w14:paraId="34BD9EBA" w14:textId="75E8E23C" w:rsidR="009550E6" w:rsidRPr="009550E6" w:rsidRDefault="009550E6" w:rsidP="009550E6">
      <w:pPr>
        <w:pStyle w:val="ListParagraph"/>
        <w:numPr>
          <w:ilvl w:val="0"/>
          <w:numId w:val="1"/>
        </w:numPr>
      </w:pPr>
      <w:r>
        <w:rPr>
          <w:i/>
        </w:rPr>
        <w:t>Rebecca had no compunctions about speaking her mind; therefore, John was about to get an earful.</w:t>
      </w:r>
    </w:p>
    <w:p w14:paraId="023C1B4D" w14:textId="77777777" w:rsidR="009550E6" w:rsidRPr="009550E6" w:rsidRDefault="009550E6" w:rsidP="009550E6"/>
    <w:p w14:paraId="2E55C131" w14:textId="13ACD833" w:rsidR="008943D4" w:rsidRDefault="008943D4" w:rsidP="00C22F07">
      <w:pPr>
        <w:rPr>
          <w:b/>
          <w:i/>
        </w:rPr>
      </w:pPr>
      <w:r w:rsidRPr="008943D4">
        <w:rPr>
          <w:b/>
          <w:i/>
        </w:rPr>
        <w:t xml:space="preserve">Before </w:t>
      </w:r>
      <w:r w:rsidRPr="008943D4">
        <w:rPr>
          <w:b/>
        </w:rPr>
        <w:t>That is,</w:t>
      </w:r>
      <w:r w:rsidRPr="008943D4">
        <w:rPr>
          <w:b/>
          <w:i/>
        </w:rPr>
        <w:t xml:space="preserve"> </w:t>
      </w:r>
      <w:r w:rsidRPr="008943D4">
        <w:rPr>
          <w:b/>
        </w:rPr>
        <w:t>Namely</w:t>
      </w:r>
      <w:r w:rsidRPr="008943D4">
        <w:rPr>
          <w:b/>
          <w:i/>
        </w:rPr>
        <w:t xml:space="preserve">, </w:t>
      </w:r>
      <w:r w:rsidRPr="008943D4">
        <w:rPr>
          <w:b/>
        </w:rPr>
        <w:t>For Example</w:t>
      </w:r>
      <w:r w:rsidRPr="008943D4">
        <w:rPr>
          <w:b/>
          <w:i/>
        </w:rPr>
        <w:t>, and Similar Expressions</w:t>
      </w:r>
    </w:p>
    <w:p w14:paraId="68EEE475" w14:textId="6523DEAB" w:rsidR="009550E6" w:rsidRDefault="00D56EB1" w:rsidP="00C22F07">
      <w:r>
        <w:t xml:space="preserve">In book-editing style, </w:t>
      </w:r>
      <w:r>
        <w:rPr>
          <w:i/>
        </w:rPr>
        <w:t>t</w:t>
      </w:r>
      <w:r w:rsidR="009550E6">
        <w:rPr>
          <w:i/>
        </w:rPr>
        <w:t>hat is</w:t>
      </w:r>
      <w:r>
        <w:rPr>
          <w:i/>
        </w:rPr>
        <w:t>, namely, for example</w:t>
      </w:r>
      <w:r>
        <w:t>, and similar expressions can be preceded by a semicolon if they closely connect related clauses.</w:t>
      </w:r>
    </w:p>
    <w:p w14:paraId="2C22383D" w14:textId="24251471" w:rsidR="00D56EB1" w:rsidRPr="00D56EB1" w:rsidRDefault="00D56EB1" w:rsidP="00D56EB1">
      <w:pPr>
        <w:pStyle w:val="ListParagraph"/>
        <w:numPr>
          <w:ilvl w:val="0"/>
          <w:numId w:val="1"/>
        </w:numPr>
      </w:pPr>
      <w:r>
        <w:rPr>
          <w:i/>
        </w:rPr>
        <w:t>John was just being helpful; that is, he was trying to be helpful.</w:t>
      </w:r>
    </w:p>
    <w:p w14:paraId="252B1B87" w14:textId="3D8DFE5B" w:rsidR="008943D4" w:rsidRDefault="008943D4" w:rsidP="00C22F07">
      <w:pPr>
        <w:rPr>
          <w:b/>
          <w:i/>
        </w:rPr>
      </w:pPr>
      <w:r w:rsidRPr="008943D4">
        <w:rPr>
          <w:b/>
          <w:i/>
        </w:rPr>
        <w:t xml:space="preserve">Between Clauses </w:t>
      </w:r>
      <w:r>
        <w:rPr>
          <w:b/>
          <w:i/>
        </w:rPr>
        <w:t>Containing Extensive Punctuation</w:t>
      </w:r>
    </w:p>
    <w:p w14:paraId="0B63B198" w14:textId="671A6D19" w:rsidR="00D56EB1" w:rsidRDefault="00D56EB1" w:rsidP="00C22F07">
      <w:r>
        <w:t>When a conjunction joins independent clauses that contain extensive punctuation, news style permits a semicolon to connect the clauses but recommends breaking up the sentence instead.</w:t>
      </w:r>
    </w:p>
    <w:p w14:paraId="7BD8360A" w14:textId="34122CBF" w:rsidR="00D56EB1" w:rsidRDefault="00D56EB1" w:rsidP="00D56EB1">
      <w:pPr>
        <w:pStyle w:val="ListParagraph"/>
        <w:numPr>
          <w:ilvl w:val="0"/>
          <w:numId w:val="1"/>
        </w:numPr>
      </w:pPr>
      <w:r>
        <w:t xml:space="preserve">Acceptable: </w:t>
      </w:r>
      <w:r>
        <w:rPr>
          <w:i/>
        </w:rPr>
        <w:t>The man runs on the treadmill, uses the elliptical machine and lifts weights; but, even with all those efforts, plus a low-carb diet consisting mostly of vegetables, he still hasn’t lost weight.</w:t>
      </w:r>
    </w:p>
    <w:p w14:paraId="5A5B7A14" w14:textId="7964B4BF" w:rsidR="00D56EB1" w:rsidRPr="00D56EB1" w:rsidRDefault="00D56EB1" w:rsidP="00D56EB1">
      <w:pPr>
        <w:pStyle w:val="ListParagraph"/>
        <w:numPr>
          <w:ilvl w:val="0"/>
          <w:numId w:val="1"/>
        </w:numPr>
      </w:pPr>
      <w:r>
        <w:t xml:space="preserve">Better: </w:t>
      </w:r>
      <w:r>
        <w:rPr>
          <w:i/>
        </w:rPr>
        <w:t>The man runs on a treadmill, uses the elliptical trainer and lifts weights. But, even with all those efforts, plus a low-carb diet consisting mainly of vegetables, he still hasn’t lost weight.</w:t>
      </w:r>
    </w:p>
    <w:p w14:paraId="110F784F" w14:textId="19871FA1" w:rsidR="008943D4" w:rsidRDefault="008943D4" w:rsidP="00C22F07">
      <w:pPr>
        <w:rPr>
          <w:b/>
          <w:i/>
        </w:rPr>
      </w:pPr>
    </w:p>
    <w:p w14:paraId="6FD52E6A" w14:textId="2777016B" w:rsidR="008943D4" w:rsidRDefault="008943D4" w:rsidP="00C22F07">
      <w:pPr>
        <w:rPr>
          <w:b/>
        </w:rPr>
      </w:pPr>
      <w:r>
        <w:rPr>
          <w:b/>
        </w:rPr>
        <w:t>Semicolon to Separate Items in Lists</w:t>
      </w:r>
    </w:p>
    <w:p w14:paraId="1B7E2D6E" w14:textId="2BF5DFDB" w:rsidR="00D56EB1" w:rsidRDefault="00D56EB1" w:rsidP="00C22F07">
      <w:r>
        <w:t>Semicolons can separate items in otherwise unwieldy lists, especially when the items listed contain their own internal commas.</w:t>
      </w:r>
    </w:p>
    <w:p w14:paraId="1299AEB3" w14:textId="37FCF073" w:rsidR="00D56EB1" w:rsidRPr="00D56EB1" w:rsidRDefault="00D56EB1" w:rsidP="00D56EB1">
      <w:pPr>
        <w:pStyle w:val="ListParagraph"/>
        <w:numPr>
          <w:ilvl w:val="0"/>
          <w:numId w:val="1"/>
        </w:numPr>
      </w:pPr>
      <w:r>
        <w:rPr>
          <w:i/>
        </w:rPr>
        <w:t>The company has retail locations in Charlottesville, Virginia; Shreveport, Louisiana, and New Haven, Connecticut.</w:t>
      </w:r>
    </w:p>
    <w:p w14:paraId="7DA12FA9" w14:textId="1F52461D" w:rsidR="00D56EB1" w:rsidRPr="00D56EB1" w:rsidRDefault="00D56EB1" w:rsidP="00D56EB1">
      <w:pPr>
        <w:pStyle w:val="ListParagraph"/>
        <w:numPr>
          <w:ilvl w:val="0"/>
          <w:numId w:val="1"/>
        </w:numPr>
      </w:pPr>
      <w:r>
        <w:rPr>
          <w:i/>
        </w:rPr>
        <w:t>The case worker, trying to paint a favorable picture of her client, noted that Johnny had done charity work for a local soup kitchen, a senior center, and animal shelter; had gone to school every day; and had not gotten in trouble with the law for two years.</w:t>
      </w:r>
    </w:p>
    <w:p w14:paraId="325876A4" w14:textId="6B85EE42" w:rsidR="00D56EB1" w:rsidRDefault="00D56EB1" w:rsidP="00D56EB1">
      <w:r>
        <w:t>However, items that are clearly distinguished by commas require no semicolons.</w:t>
      </w:r>
    </w:p>
    <w:p w14:paraId="0C125A2F" w14:textId="5CE21A59" w:rsidR="00D56EB1" w:rsidRPr="00D56EB1" w:rsidRDefault="00D56EB1" w:rsidP="00D56EB1">
      <w:pPr>
        <w:pStyle w:val="ListParagraph"/>
        <w:numPr>
          <w:ilvl w:val="0"/>
          <w:numId w:val="1"/>
        </w:numPr>
      </w:pPr>
      <w:r>
        <w:rPr>
          <w:i/>
        </w:rPr>
        <w:t xml:space="preserve">The reading materials in the dentist’s office included a copy </w:t>
      </w:r>
      <w:proofErr w:type="gramStart"/>
      <w:r>
        <w:rPr>
          <w:i/>
        </w:rPr>
        <w:t xml:space="preserve">of </w:t>
      </w:r>
      <w:r>
        <w:t xml:space="preserve"> New</w:t>
      </w:r>
      <w:r w:rsidR="00C93C4E">
        <w:t>sweek</w:t>
      </w:r>
      <w:proofErr w:type="gramEnd"/>
      <w:r w:rsidR="00C93C4E">
        <w:t xml:space="preserve">, </w:t>
      </w:r>
      <w:r w:rsidR="00C93C4E">
        <w:rPr>
          <w:i/>
        </w:rPr>
        <w:t>which I hate, a two-week-old newspaper, and a pamphlet on gingivitis.</w:t>
      </w:r>
    </w:p>
    <w:p w14:paraId="4BBEB215" w14:textId="6919AF35" w:rsidR="008943D4" w:rsidRDefault="008943D4" w:rsidP="00C22F07">
      <w:pPr>
        <w:rPr>
          <w:b/>
          <w:i/>
        </w:rPr>
      </w:pPr>
      <w:r>
        <w:rPr>
          <w:b/>
          <w:i/>
        </w:rPr>
        <w:t>Semicolon in Indexes, Text Citations, and the Like</w:t>
      </w:r>
    </w:p>
    <w:p w14:paraId="19636D28" w14:textId="3AD27D86" w:rsidR="00C93C4E" w:rsidRDefault="009019E3" w:rsidP="00C22F07">
      <w:r>
        <w:t>Index</w:t>
      </w:r>
      <w:r w:rsidR="00C93C4E">
        <w:t xml:space="preserve"> entries, text citations, and similar lists in which commas would not clearly delineate </w:t>
      </w:r>
      <w:r>
        <w:t>items often use semicolons, especially, (but not exclusively) in book style.</w:t>
      </w:r>
    </w:p>
    <w:p w14:paraId="38265C51" w14:textId="47C1BC41" w:rsidR="009019E3" w:rsidRPr="009019E3" w:rsidRDefault="009019E3" w:rsidP="009019E3">
      <w:pPr>
        <w:pStyle w:val="ListParagraph"/>
        <w:numPr>
          <w:ilvl w:val="0"/>
          <w:numId w:val="1"/>
        </w:numPr>
      </w:pPr>
      <w:r>
        <w:rPr>
          <w:i/>
        </w:rPr>
        <w:t>Butter, baking with, 150-155, 188-204; sautéing with, 81-83,97, 99-102.</w:t>
      </w:r>
    </w:p>
    <w:p w14:paraId="6E5FF6DB" w14:textId="451CD488" w:rsidR="009019E3" w:rsidRPr="00C93C4E" w:rsidRDefault="009019E3" w:rsidP="009019E3">
      <w:pPr>
        <w:pStyle w:val="ListParagraph"/>
        <w:numPr>
          <w:ilvl w:val="0"/>
          <w:numId w:val="1"/>
        </w:numPr>
      </w:pPr>
      <w:r>
        <w:rPr>
          <w:i/>
        </w:rPr>
        <w:t xml:space="preserve">(Carter and Johnstone 2002; </w:t>
      </w:r>
      <w:proofErr w:type="spellStart"/>
      <w:r>
        <w:rPr>
          <w:i/>
        </w:rPr>
        <w:t>Garnick</w:t>
      </w:r>
      <w:proofErr w:type="spellEnd"/>
      <w:r>
        <w:rPr>
          <w:i/>
        </w:rPr>
        <w:t xml:space="preserve"> 1986; </w:t>
      </w:r>
      <w:proofErr w:type="spellStart"/>
      <w:r>
        <w:rPr>
          <w:i/>
        </w:rPr>
        <w:t>VanDuren</w:t>
      </w:r>
      <w:proofErr w:type="spellEnd"/>
      <w:r>
        <w:rPr>
          <w:i/>
        </w:rPr>
        <w:t xml:space="preserve"> 1980)</w:t>
      </w:r>
    </w:p>
    <w:p w14:paraId="0C237D10" w14:textId="77777777" w:rsidR="008943D4" w:rsidRPr="008943D4" w:rsidRDefault="008943D4" w:rsidP="00C22F07">
      <w:pPr>
        <w:rPr>
          <w:b/>
          <w:i/>
        </w:rPr>
      </w:pPr>
    </w:p>
    <w:p w14:paraId="475AAD80" w14:textId="77777777" w:rsidR="008943D4" w:rsidRPr="00C22F07" w:rsidRDefault="008943D4" w:rsidP="00C22F07">
      <w:pPr>
        <w:rPr>
          <w:b/>
        </w:rPr>
      </w:pPr>
    </w:p>
    <w:p w14:paraId="5BB9E313" w14:textId="054947F1" w:rsidR="00E77DA2" w:rsidRDefault="00E77DA2">
      <w:pPr>
        <w:rPr>
          <w:b/>
        </w:rPr>
      </w:pPr>
    </w:p>
    <w:p w14:paraId="67599B93" w14:textId="77777777" w:rsidR="00E77DA2" w:rsidRPr="00E77DA2" w:rsidRDefault="00E77DA2">
      <w:pPr>
        <w:rPr>
          <w:b/>
        </w:rPr>
      </w:pPr>
    </w:p>
    <w:sectPr w:rsidR="00E77DA2" w:rsidRPr="00E77DA2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C01E9"/>
    <w:multiLevelType w:val="hybridMultilevel"/>
    <w:tmpl w:val="6F4E6EF8"/>
    <w:lvl w:ilvl="0" w:tplc="A1D25F6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967D3B"/>
    <w:multiLevelType w:val="hybridMultilevel"/>
    <w:tmpl w:val="2536D752"/>
    <w:lvl w:ilvl="0" w:tplc="96001EA6">
      <w:numFmt w:val="bullet"/>
      <w:lvlText w:val="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ED8"/>
    <w:rsid w:val="00033CC4"/>
    <w:rsid w:val="00033DF5"/>
    <w:rsid w:val="000361C9"/>
    <w:rsid w:val="00082020"/>
    <w:rsid w:val="0009040F"/>
    <w:rsid w:val="000A5570"/>
    <w:rsid w:val="000A5ED9"/>
    <w:rsid w:val="000B01A1"/>
    <w:rsid w:val="000C1BFD"/>
    <w:rsid w:val="000C462E"/>
    <w:rsid w:val="000D00E3"/>
    <w:rsid w:val="000D7C97"/>
    <w:rsid w:val="000E078B"/>
    <w:rsid w:val="000E6D6A"/>
    <w:rsid w:val="0011706B"/>
    <w:rsid w:val="00142EB0"/>
    <w:rsid w:val="00162110"/>
    <w:rsid w:val="0016289A"/>
    <w:rsid w:val="001B4B72"/>
    <w:rsid w:val="001D4FB1"/>
    <w:rsid w:val="00201033"/>
    <w:rsid w:val="00202A7B"/>
    <w:rsid w:val="00211046"/>
    <w:rsid w:val="0024177E"/>
    <w:rsid w:val="00250AC9"/>
    <w:rsid w:val="002A44E4"/>
    <w:rsid w:val="002A643F"/>
    <w:rsid w:val="002D7148"/>
    <w:rsid w:val="0030381D"/>
    <w:rsid w:val="003074DE"/>
    <w:rsid w:val="003162B7"/>
    <w:rsid w:val="00322447"/>
    <w:rsid w:val="00350CB5"/>
    <w:rsid w:val="0038015A"/>
    <w:rsid w:val="00390941"/>
    <w:rsid w:val="00391D4B"/>
    <w:rsid w:val="003968AA"/>
    <w:rsid w:val="003B7791"/>
    <w:rsid w:val="003D2B9F"/>
    <w:rsid w:val="003E7A2E"/>
    <w:rsid w:val="003F087B"/>
    <w:rsid w:val="00406D81"/>
    <w:rsid w:val="00410E3E"/>
    <w:rsid w:val="004320E6"/>
    <w:rsid w:val="004343E2"/>
    <w:rsid w:val="00435098"/>
    <w:rsid w:val="00437BAD"/>
    <w:rsid w:val="004458BE"/>
    <w:rsid w:val="004814DB"/>
    <w:rsid w:val="00482F30"/>
    <w:rsid w:val="00492D7C"/>
    <w:rsid w:val="004A26DB"/>
    <w:rsid w:val="004B1551"/>
    <w:rsid w:val="004C067D"/>
    <w:rsid w:val="004D0984"/>
    <w:rsid w:val="004D4514"/>
    <w:rsid w:val="004D7D2C"/>
    <w:rsid w:val="00510CA2"/>
    <w:rsid w:val="005117D9"/>
    <w:rsid w:val="00521669"/>
    <w:rsid w:val="00526632"/>
    <w:rsid w:val="005668CF"/>
    <w:rsid w:val="00567127"/>
    <w:rsid w:val="00592473"/>
    <w:rsid w:val="005C1030"/>
    <w:rsid w:val="00616DCE"/>
    <w:rsid w:val="00616F5B"/>
    <w:rsid w:val="006223BF"/>
    <w:rsid w:val="00643E90"/>
    <w:rsid w:val="00645A8D"/>
    <w:rsid w:val="00647ECF"/>
    <w:rsid w:val="00660C35"/>
    <w:rsid w:val="00677C8B"/>
    <w:rsid w:val="0068578B"/>
    <w:rsid w:val="0069446E"/>
    <w:rsid w:val="00697AFB"/>
    <w:rsid w:val="006A2546"/>
    <w:rsid w:val="006B0EED"/>
    <w:rsid w:val="006B5E6C"/>
    <w:rsid w:val="006D74C5"/>
    <w:rsid w:val="007146A0"/>
    <w:rsid w:val="00744EA5"/>
    <w:rsid w:val="007466B5"/>
    <w:rsid w:val="00754602"/>
    <w:rsid w:val="007979F0"/>
    <w:rsid w:val="007A3021"/>
    <w:rsid w:val="007B671A"/>
    <w:rsid w:val="007E4B07"/>
    <w:rsid w:val="007E518F"/>
    <w:rsid w:val="007F207C"/>
    <w:rsid w:val="007F3EC8"/>
    <w:rsid w:val="008031AF"/>
    <w:rsid w:val="00847DC9"/>
    <w:rsid w:val="00852BCF"/>
    <w:rsid w:val="00861C09"/>
    <w:rsid w:val="00866C61"/>
    <w:rsid w:val="00875B30"/>
    <w:rsid w:val="008845F1"/>
    <w:rsid w:val="008943D4"/>
    <w:rsid w:val="008A0811"/>
    <w:rsid w:val="008F1C03"/>
    <w:rsid w:val="009019E3"/>
    <w:rsid w:val="00911BFA"/>
    <w:rsid w:val="00912314"/>
    <w:rsid w:val="00933B2A"/>
    <w:rsid w:val="009550E6"/>
    <w:rsid w:val="00956A06"/>
    <w:rsid w:val="009900C0"/>
    <w:rsid w:val="00993C25"/>
    <w:rsid w:val="009A2D84"/>
    <w:rsid w:val="009B141C"/>
    <w:rsid w:val="009B4246"/>
    <w:rsid w:val="009D2E45"/>
    <w:rsid w:val="009D34F5"/>
    <w:rsid w:val="009F600E"/>
    <w:rsid w:val="009F793B"/>
    <w:rsid w:val="00A20E7B"/>
    <w:rsid w:val="00A24733"/>
    <w:rsid w:val="00A46C9D"/>
    <w:rsid w:val="00A5102E"/>
    <w:rsid w:val="00A63D46"/>
    <w:rsid w:val="00A66971"/>
    <w:rsid w:val="00A8716B"/>
    <w:rsid w:val="00A901AC"/>
    <w:rsid w:val="00A919D6"/>
    <w:rsid w:val="00AC1512"/>
    <w:rsid w:val="00AC633F"/>
    <w:rsid w:val="00AD7409"/>
    <w:rsid w:val="00AD767C"/>
    <w:rsid w:val="00AE22E8"/>
    <w:rsid w:val="00AE5919"/>
    <w:rsid w:val="00B21034"/>
    <w:rsid w:val="00B23F4E"/>
    <w:rsid w:val="00B279A2"/>
    <w:rsid w:val="00B27CDF"/>
    <w:rsid w:val="00B302CD"/>
    <w:rsid w:val="00B462D9"/>
    <w:rsid w:val="00B507D2"/>
    <w:rsid w:val="00B523F5"/>
    <w:rsid w:val="00B772C6"/>
    <w:rsid w:val="00B913F1"/>
    <w:rsid w:val="00BA6192"/>
    <w:rsid w:val="00BD76F5"/>
    <w:rsid w:val="00C22F07"/>
    <w:rsid w:val="00C37741"/>
    <w:rsid w:val="00C46F89"/>
    <w:rsid w:val="00C601AB"/>
    <w:rsid w:val="00C6491C"/>
    <w:rsid w:val="00C830D1"/>
    <w:rsid w:val="00C869E6"/>
    <w:rsid w:val="00C93C4E"/>
    <w:rsid w:val="00CA65B2"/>
    <w:rsid w:val="00CB2A61"/>
    <w:rsid w:val="00CC601A"/>
    <w:rsid w:val="00CE27B4"/>
    <w:rsid w:val="00D32C0A"/>
    <w:rsid w:val="00D56EB1"/>
    <w:rsid w:val="00D65278"/>
    <w:rsid w:val="00D87583"/>
    <w:rsid w:val="00D92D97"/>
    <w:rsid w:val="00DA3D62"/>
    <w:rsid w:val="00DB379B"/>
    <w:rsid w:val="00DB73D4"/>
    <w:rsid w:val="00DD1234"/>
    <w:rsid w:val="00DD63B7"/>
    <w:rsid w:val="00DE425F"/>
    <w:rsid w:val="00E16D41"/>
    <w:rsid w:val="00E40B47"/>
    <w:rsid w:val="00E6319D"/>
    <w:rsid w:val="00E77DA2"/>
    <w:rsid w:val="00E80804"/>
    <w:rsid w:val="00E83EFA"/>
    <w:rsid w:val="00E96C97"/>
    <w:rsid w:val="00EA05E4"/>
    <w:rsid w:val="00EC6903"/>
    <w:rsid w:val="00EE644C"/>
    <w:rsid w:val="00EF1ED8"/>
    <w:rsid w:val="00F15ABC"/>
    <w:rsid w:val="00F2770A"/>
    <w:rsid w:val="00F27CB3"/>
    <w:rsid w:val="00F46F3F"/>
    <w:rsid w:val="00F578C3"/>
    <w:rsid w:val="00F83408"/>
    <w:rsid w:val="00FD6F2B"/>
    <w:rsid w:val="00FE4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A813B"/>
  <w15:chartTrackingRefBased/>
  <w15:docId w15:val="{3B217E69-6520-DB4D-9150-9E67C6F3C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ED8"/>
    <w:pPr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4047CA-5F7F-4A3E-A1C4-7DA2C6253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1266</TotalTime>
  <Pages>1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122</cp:revision>
  <dcterms:created xsi:type="dcterms:W3CDTF">2021-12-03T11:36:00Z</dcterms:created>
  <dcterms:modified xsi:type="dcterms:W3CDTF">2022-01-03T17:21:00Z</dcterms:modified>
</cp:coreProperties>
</file>