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6C43" w:rsidRDefault="00331002" w:rsidP="00331002">
      <w:pPr>
        <w:jc w:val="center"/>
        <w:rPr>
          <w:rFonts w:ascii="Times New Roman" w:hAnsi="Times New Roman" w:cs="Times New Roman"/>
          <w:b/>
          <w:i/>
          <w:sz w:val="24"/>
          <w:szCs w:val="24"/>
        </w:rPr>
      </w:pPr>
      <w:r>
        <w:rPr>
          <w:rFonts w:ascii="Times New Roman" w:hAnsi="Times New Roman" w:cs="Times New Roman"/>
          <w:b/>
          <w:sz w:val="24"/>
          <w:szCs w:val="24"/>
        </w:rPr>
        <w:t xml:space="preserve">English Language Arts Learning Support: </w:t>
      </w:r>
      <w:r w:rsidRPr="00331002">
        <w:rPr>
          <w:rFonts w:ascii="Times New Roman" w:hAnsi="Times New Roman" w:cs="Times New Roman"/>
          <w:b/>
          <w:i/>
          <w:sz w:val="24"/>
          <w:szCs w:val="24"/>
        </w:rPr>
        <w:t>A Glossary of Terms on Poetry and Prose</w:t>
      </w:r>
    </w:p>
    <w:p w:rsidR="00331002" w:rsidRDefault="00331002" w:rsidP="00331002">
      <w:pPr>
        <w:jc w:val="center"/>
        <w:rPr>
          <w:rFonts w:ascii="Times New Roman" w:hAnsi="Times New Roman" w:cs="Times New Roman"/>
          <w:b/>
          <w:i/>
          <w:sz w:val="24"/>
          <w:szCs w:val="24"/>
        </w:rPr>
      </w:pPr>
    </w:p>
    <w:p w:rsidR="00331002" w:rsidRPr="00331002" w:rsidRDefault="00331002" w:rsidP="00331002">
      <w:pPr>
        <w:rPr>
          <w:rFonts w:ascii="Times New Roman" w:hAnsi="Times New Roman" w:cs="Times New Roman"/>
          <w:sz w:val="24"/>
          <w:szCs w:val="24"/>
        </w:rPr>
      </w:pPr>
      <w:r>
        <w:rPr>
          <w:rFonts w:ascii="Times New Roman" w:hAnsi="Times New Roman" w:cs="Times New Roman"/>
          <w:b/>
          <w:sz w:val="24"/>
          <w:szCs w:val="24"/>
        </w:rPr>
        <w:t xml:space="preserve">Poetry: </w:t>
      </w:r>
      <w:r>
        <w:rPr>
          <w:rFonts w:ascii="Times New Roman" w:hAnsi="Times New Roman" w:cs="Times New Roman"/>
          <w:sz w:val="24"/>
          <w:szCs w:val="24"/>
        </w:rPr>
        <w:t xml:space="preserve">Writing that formulates a concentrated imaginative awareness of experience in language chosen and arranged to create a specific emotional response through its meaning, sound, and rhythm. It may be distinguished from prose by its compression, frequent use of conventions of meter and rhyme, use of the line as a formal unit, heightened vocabulary, and freedom of syntax, </w:t>
      </w:r>
      <w:proofErr w:type="gramStart"/>
      <w:r>
        <w:rPr>
          <w:rFonts w:ascii="Times New Roman" w:hAnsi="Times New Roman" w:cs="Times New Roman"/>
          <w:sz w:val="24"/>
          <w:szCs w:val="24"/>
        </w:rPr>
        <w:t>Its</w:t>
      </w:r>
      <w:proofErr w:type="gramEnd"/>
      <w:r>
        <w:rPr>
          <w:rFonts w:ascii="Times New Roman" w:hAnsi="Times New Roman" w:cs="Times New Roman"/>
          <w:sz w:val="24"/>
          <w:szCs w:val="24"/>
        </w:rPr>
        <w:t xml:space="preserve"> emotional content is expressed through a variety of techniques, from direct description to symbolism, including the use of metaphor and simile.</w:t>
      </w:r>
    </w:p>
    <w:p w:rsidR="00331002" w:rsidRDefault="00331002" w:rsidP="00331002">
      <w:pPr>
        <w:rPr>
          <w:rFonts w:ascii="Times New Roman" w:hAnsi="Times New Roman" w:cs="Times New Roman"/>
          <w:b/>
          <w:sz w:val="24"/>
          <w:szCs w:val="24"/>
        </w:rPr>
      </w:pPr>
    </w:p>
    <w:p w:rsidR="00331002" w:rsidRPr="00331002" w:rsidRDefault="00331002" w:rsidP="00331002">
      <w:pPr>
        <w:rPr>
          <w:rFonts w:ascii="Times New Roman" w:hAnsi="Times New Roman" w:cs="Times New Roman"/>
          <w:sz w:val="24"/>
          <w:szCs w:val="24"/>
        </w:rPr>
      </w:pPr>
      <w:r>
        <w:rPr>
          <w:rFonts w:ascii="Times New Roman" w:hAnsi="Times New Roman" w:cs="Times New Roman"/>
          <w:b/>
          <w:sz w:val="24"/>
          <w:szCs w:val="24"/>
        </w:rPr>
        <w:t xml:space="preserve">Prose: </w:t>
      </w:r>
      <w:r>
        <w:rPr>
          <w:rFonts w:ascii="Times New Roman" w:hAnsi="Times New Roman" w:cs="Times New Roman"/>
          <w:sz w:val="24"/>
          <w:szCs w:val="24"/>
        </w:rPr>
        <w:t>Literary medium distinguished from poetry</w:t>
      </w:r>
      <w:r w:rsidR="004E0561">
        <w:rPr>
          <w:rFonts w:ascii="Times New Roman" w:hAnsi="Times New Roman" w:cs="Times New Roman"/>
          <w:sz w:val="24"/>
          <w:szCs w:val="24"/>
        </w:rPr>
        <w:t xml:space="preserve"> by its greater irregularity and variety of rhythm and its closer correspondence to the patterns of everyday speech. Though it is readily distinguishable from poetry in that it does not treat a line as a formal unit, the significant differences between prose and poetry are of tone, pace, and sometimes subject matter.</w:t>
      </w:r>
    </w:p>
    <w:p w:rsidR="00331002" w:rsidRDefault="00331002" w:rsidP="00331002">
      <w:pPr>
        <w:rPr>
          <w:rFonts w:ascii="Times New Roman" w:hAnsi="Times New Roman" w:cs="Times New Roman"/>
          <w:b/>
          <w:sz w:val="24"/>
          <w:szCs w:val="24"/>
        </w:rPr>
      </w:pPr>
    </w:p>
    <w:p w:rsidR="00331002" w:rsidRPr="00AC3220" w:rsidRDefault="00331002" w:rsidP="00331002">
      <w:pPr>
        <w:rPr>
          <w:rFonts w:ascii="Times New Roman" w:hAnsi="Times New Roman" w:cs="Times New Roman"/>
          <w:b/>
          <w:sz w:val="24"/>
          <w:szCs w:val="24"/>
        </w:rPr>
      </w:pPr>
      <w:r>
        <w:rPr>
          <w:rFonts w:ascii="Times New Roman" w:hAnsi="Times New Roman" w:cs="Times New Roman"/>
          <w:b/>
          <w:sz w:val="24"/>
          <w:szCs w:val="24"/>
        </w:rPr>
        <w:t xml:space="preserve">Prose Poem: </w:t>
      </w:r>
      <w:r>
        <w:rPr>
          <w:rFonts w:ascii="Times New Roman" w:hAnsi="Times New Roman" w:cs="Times New Roman"/>
          <w:sz w:val="24"/>
          <w:szCs w:val="24"/>
        </w:rPr>
        <w:t>Work in prose that has some of the technical or literary qualities (such as regular rhythm, definitely patterned structure, or emotional</w:t>
      </w:r>
      <w:r w:rsidR="004E0561">
        <w:rPr>
          <w:rFonts w:ascii="Times New Roman" w:hAnsi="Times New Roman" w:cs="Times New Roman"/>
          <w:sz w:val="24"/>
          <w:szCs w:val="24"/>
        </w:rPr>
        <w:t xml:space="preserve"> or imaginative heightening) but that is set on the page as prose. The form</w:t>
      </w:r>
      <w:r w:rsidR="00AC3220">
        <w:rPr>
          <w:rFonts w:ascii="Times New Roman" w:hAnsi="Times New Roman" w:cs="Times New Roman"/>
          <w:sz w:val="24"/>
          <w:szCs w:val="24"/>
        </w:rPr>
        <w:t xml:space="preserve"> took its name from Charles Baudelaire’s </w:t>
      </w:r>
      <w:r w:rsidR="00AC3220">
        <w:rPr>
          <w:rFonts w:ascii="Times New Roman" w:hAnsi="Times New Roman" w:cs="Times New Roman"/>
          <w:i/>
          <w:sz w:val="24"/>
          <w:szCs w:val="24"/>
        </w:rPr>
        <w:t xml:space="preserve">Petit </w:t>
      </w:r>
      <w:proofErr w:type="spellStart"/>
      <w:r w:rsidR="00AC3220">
        <w:rPr>
          <w:rFonts w:ascii="Times New Roman" w:hAnsi="Times New Roman" w:cs="Times New Roman"/>
          <w:i/>
          <w:sz w:val="24"/>
          <w:szCs w:val="24"/>
        </w:rPr>
        <w:t>poemes</w:t>
      </w:r>
      <w:proofErr w:type="spellEnd"/>
      <w:r w:rsidR="00AC3220">
        <w:rPr>
          <w:rFonts w:ascii="Times New Roman" w:hAnsi="Times New Roman" w:cs="Times New Roman"/>
          <w:i/>
          <w:sz w:val="24"/>
          <w:szCs w:val="24"/>
        </w:rPr>
        <w:t xml:space="preserve"> </w:t>
      </w:r>
      <w:proofErr w:type="spellStart"/>
      <w:r w:rsidR="00AC3220">
        <w:rPr>
          <w:rFonts w:ascii="Times New Roman" w:hAnsi="Times New Roman" w:cs="Times New Roman"/>
          <w:i/>
          <w:sz w:val="24"/>
          <w:szCs w:val="24"/>
        </w:rPr>
        <w:t>en</w:t>
      </w:r>
      <w:proofErr w:type="spellEnd"/>
      <w:r w:rsidR="00AC3220">
        <w:rPr>
          <w:rFonts w:ascii="Times New Roman" w:hAnsi="Times New Roman" w:cs="Times New Roman"/>
          <w:i/>
          <w:sz w:val="24"/>
          <w:szCs w:val="24"/>
        </w:rPr>
        <w:t xml:space="preserve"> prose </w:t>
      </w:r>
      <w:r w:rsidR="00AC3220">
        <w:rPr>
          <w:rFonts w:ascii="Times New Roman" w:hAnsi="Times New Roman" w:cs="Times New Roman"/>
          <w:sz w:val="24"/>
          <w:szCs w:val="24"/>
        </w:rPr>
        <w:t>(1869; “Little Poems in Prose”). Other writers of prose poems include, in the 19</w:t>
      </w:r>
      <w:r w:rsidR="00AC3220" w:rsidRPr="00AC3220">
        <w:rPr>
          <w:rFonts w:ascii="Times New Roman" w:hAnsi="Times New Roman" w:cs="Times New Roman"/>
          <w:sz w:val="24"/>
          <w:szCs w:val="24"/>
          <w:vertAlign w:val="superscript"/>
        </w:rPr>
        <w:t>th</w:t>
      </w:r>
      <w:r w:rsidR="00AC3220">
        <w:rPr>
          <w:rFonts w:ascii="Times New Roman" w:hAnsi="Times New Roman" w:cs="Times New Roman"/>
          <w:sz w:val="24"/>
          <w:szCs w:val="24"/>
        </w:rPr>
        <w:t xml:space="preserve"> century, Stephane Mallarme, Friedrich </w:t>
      </w:r>
      <w:proofErr w:type="spellStart"/>
      <w:r w:rsidR="00AC3220">
        <w:rPr>
          <w:rFonts w:ascii="Times New Roman" w:hAnsi="Times New Roman" w:cs="Times New Roman"/>
          <w:sz w:val="24"/>
          <w:szCs w:val="24"/>
        </w:rPr>
        <w:t>Holderlin</w:t>
      </w:r>
      <w:proofErr w:type="spellEnd"/>
      <w:r w:rsidR="00AC3220">
        <w:rPr>
          <w:rFonts w:ascii="Times New Roman" w:hAnsi="Times New Roman" w:cs="Times New Roman"/>
          <w:sz w:val="24"/>
          <w:szCs w:val="24"/>
        </w:rPr>
        <w:t xml:space="preserve">, Arthur Rimbaud, </w:t>
      </w:r>
      <w:proofErr w:type="spellStart"/>
      <w:r w:rsidR="00AC3220">
        <w:rPr>
          <w:rFonts w:ascii="Times New Roman" w:hAnsi="Times New Roman" w:cs="Times New Roman"/>
          <w:sz w:val="24"/>
          <w:szCs w:val="24"/>
        </w:rPr>
        <w:t>Novalis</w:t>
      </w:r>
      <w:proofErr w:type="spellEnd"/>
      <w:r w:rsidR="00AC3220">
        <w:rPr>
          <w:rFonts w:ascii="Times New Roman" w:hAnsi="Times New Roman" w:cs="Times New Roman"/>
          <w:sz w:val="24"/>
          <w:szCs w:val="24"/>
        </w:rPr>
        <w:t>, and Rainier Maria Rilke, and in the 20</w:t>
      </w:r>
      <w:r w:rsidR="00AC3220" w:rsidRPr="00AC3220">
        <w:rPr>
          <w:rFonts w:ascii="Times New Roman" w:hAnsi="Times New Roman" w:cs="Times New Roman"/>
          <w:sz w:val="24"/>
          <w:szCs w:val="24"/>
          <w:vertAlign w:val="superscript"/>
        </w:rPr>
        <w:t>th</w:t>
      </w:r>
      <w:r w:rsidR="00AC3220">
        <w:rPr>
          <w:rFonts w:ascii="Times New Roman" w:hAnsi="Times New Roman" w:cs="Times New Roman"/>
          <w:sz w:val="24"/>
          <w:szCs w:val="24"/>
        </w:rPr>
        <w:t>, Amy Lowell (in her “polyphonic prose”) and such contemporary poets as John Ashbery.</w:t>
      </w:r>
      <w:bookmarkStart w:id="0" w:name="_GoBack"/>
      <w:bookmarkEnd w:id="0"/>
    </w:p>
    <w:p w:rsidR="00331002" w:rsidRDefault="00331002" w:rsidP="00331002">
      <w:pPr>
        <w:jc w:val="center"/>
        <w:rPr>
          <w:rFonts w:ascii="Times New Roman" w:hAnsi="Times New Roman" w:cs="Times New Roman"/>
          <w:b/>
          <w:i/>
          <w:sz w:val="24"/>
          <w:szCs w:val="24"/>
        </w:rPr>
      </w:pPr>
    </w:p>
    <w:p w:rsidR="00331002" w:rsidRPr="00331002" w:rsidRDefault="00331002" w:rsidP="00331002">
      <w:pPr>
        <w:rPr>
          <w:rFonts w:ascii="Times New Roman" w:hAnsi="Times New Roman" w:cs="Times New Roman"/>
          <w:b/>
          <w:sz w:val="24"/>
          <w:szCs w:val="24"/>
        </w:rPr>
      </w:pPr>
      <w:r>
        <w:rPr>
          <w:rFonts w:ascii="Times New Roman" w:hAnsi="Times New Roman" w:cs="Times New Roman"/>
          <w:b/>
          <w:sz w:val="24"/>
          <w:szCs w:val="24"/>
        </w:rPr>
        <w:t xml:space="preserve">Excerpted/Adapted from: </w:t>
      </w:r>
      <w:r>
        <w:rPr>
          <w:rFonts w:ascii="Times New Roman" w:hAnsi="Times New Roman" w:cs="Times New Roman"/>
          <w:sz w:val="24"/>
          <w:szCs w:val="24"/>
        </w:rPr>
        <w:t xml:space="preserve">Stevens, Craig A. </w:t>
      </w:r>
      <w:r>
        <w:rPr>
          <w:rFonts w:ascii="Times New Roman" w:hAnsi="Times New Roman" w:cs="Times New Roman"/>
          <w:i/>
          <w:sz w:val="24"/>
          <w:szCs w:val="24"/>
        </w:rPr>
        <w:t>Merriam-Webster’s Collegiate Dictionary</w:t>
      </w:r>
      <w:r>
        <w:rPr>
          <w:rFonts w:ascii="Times New Roman" w:hAnsi="Times New Roman" w:cs="Times New Roman"/>
          <w:sz w:val="24"/>
          <w:szCs w:val="24"/>
        </w:rPr>
        <w:t>. Springfield: Merriam-Webster, 2000.</w:t>
      </w:r>
    </w:p>
    <w:sectPr w:rsidR="00331002" w:rsidRPr="00331002" w:rsidSect="003310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002"/>
    <w:rsid w:val="00331002"/>
    <w:rsid w:val="004E0561"/>
    <w:rsid w:val="00AC3220"/>
    <w:rsid w:val="00DE6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C1BF"/>
  <w15:chartTrackingRefBased/>
  <w15:docId w15:val="{46DD54C2-6428-45A4-A69B-43A4EF44C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248</Words>
  <Characters>1417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Feltskog Mark</cp:lastModifiedBy>
  <cp:revision>3</cp:revision>
  <dcterms:created xsi:type="dcterms:W3CDTF">2021-11-09T12:28:00Z</dcterms:created>
  <dcterms:modified xsi:type="dcterms:W3CDTF">2021-11-09T12:47:00Z</dcterms:modified>
</cp:coreProperties>
</file>