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718C7C2F" w:rsidR="00950311" w:rsidRPr="00A37D62" w:rsidRDefault="00830E00" w:rsidP="00950311">
      <w:pPr>
        <w:jc w:val="center"/>
        <w:rPr>
          <w:b/>
          <w:i/>
        </w:rPr>
      </w:pPr>
      <w:bookmarkStart w:id="0" w:name="OLE_LINK1"/>
      <w:bookmarkStart w:id="1" w:name="OLE_LINK2"/>
      <w:r w:rsidRPr="005309E2">
        <w:rPr>
          <w:b/>
        </w:rPr>
        <w:t>English Language Arts</w:t>
      </w:r>
      <w:r w:rsidR="00E627C8" w:rsidRPr="005309E2">
        <w:rPr>
          <w:b/>
        </w:rPr>
        <w:t xml:space="preserve">, </w:t>
      </w:r>
      <w:r w:rsidR="000E616F" w:rsidRPr="005309E2">
        <w:rPr>
          <w:b/>
          <w:i/>
        </w:rPr>
        <w:t xml:space="preserve">Arguing Your Case </w:t>
      </w:r>
      <w:r w:rsidR="000E616F" w:rsidRPr="005309E2">
        <w:rPr>
          <w:b/>
        </w:rPr>
        <w:t>Unit</w:t>
      </w:r>
      <w:r w:rsidR="008C0598">
        <w:rPr>
          <w:b/>
        </w:rPr>
        <w:t xml:space="preserve"> 1,</w:t>
      </w:r>
      <w:r w:rsidR="00E627C8" w:rsidRPr="005309E2">
        <w:rPr>
          <w:b/>
        </w:rPr>
        <w:t xml:space="preserve"> </w:t>
      </w:r>
      <w:r w:rsidR="00A37D62">
        <w:rPr>
          <w:b/>
        </w:rPr>
        <w:t xml:space="preserve">Lesson 3: </w:t>
      </w:r>
      <w:r w:rsidR="00A37D62">
        <w:rPr>
          <w:b/>
          <w:i/>
        </w:rPr>
        <w:t>What “They Say”</w:t>
      </w:r>
      <w:r w:rsidR="0039616A">
        <w:rPr>
          <w:b/>
          <w:i/>
        </w:rPr>
        <w:t xml:space="preserve"> Part I</w:t>
      </w:r>
      <w:r w:rsidR="000E3C73">
        <w:rPr>
          <w:b/>
          <w:i/>
        </w:rPr>
        <w:t>: Introducing What “They Say” and “Standard Views”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309E2" w14:paraId="175EFF19" w14:textId="77777777" w:rsidTr="00327996">
        <w:tc>
          <w:tcPr>
            <w:tcW w:w="10800" w:type="dxa"/>
            <w:shd w:val="clear" w:color="auto" w:fill="auto"/>
          </w:tcPr>
          <w:p w14:paraId="4B2CD337" w14:textId="1671D4A3" w:rsidR="00237CCC" w:rsidRPr="00485AE3" w:rsidRDefault="00950311" w:rsidP="00237CCC">
            <w:pPr>
              <w:rPr>
                <w:lang w:bidi="x-none"/>
              </w:rPr>
            </w:pPr>
            <w:r w:rsidRPr="005309E2">
              <w:rPr>
                <w:b/>
              </w:rPr>
              <w:t>Standards Met:</w:t>
            </w:r>
            <w:r w:rsidR="003121A9" w:rsidRPr="005309E2">
              <w:rPr>
                <w:b/>
              </w:rPr>
              <w:t xml:space="preserve"> </w:t>
            </w:r>
            <w:r w:rsidR="0010347C">
              <w:t xml:space="preserve">This lesson is part of the </w:t>
            </w:r>
            <w:r w:rsidR="005C1CA9" w:rsidRPr="005309E2">
              <w:t xml:space="preserve">English Language Arts, </w:t>
            </w:r>
            <w:r w:rsidR="005C1CA9" w:rsidRPr="005309E2">
              <w:rPr>
                <w:i/>
              </w:rPr>
              <w:t xml:space="preserve">Arguing Your Case </w:t>
            </w:r>
            <w:r w:rsidR="003121A9" w:rsidRPr="005309E2">
              <w:t xml:space="preserve">Unit Plan and meets the standards adumbrated therein. </w:t>
            </w:r>
            <w:r w:rsidR="00485AE3">
              <w:rPr>
                <w:b/>
                <w:lang w:bidi="x-none"/>
              </w:rPr>
              <w:t xml:space="preserve">Big Ideas: </w:t>
            </w:r>
            <w:r w:rsidR="00485AE3">
              <w:rPr>
                <w:lang w:bidi="x-none"/>
              </w:rPr>
              <w:t xml:space="preserve">logic, argumentation, thesis and theses, evidence, syllogisms rhetoric, persuasion, conviction, dialectical thinking, using logic to postulate arguments. </w:t>
            </w:r>
          </w:p>
          <w:p w14:paraId="4C69F168" w14:textId="531E7CC5" w:rsidR="00237CCC" w:rsidRPr="005309E2" w:rsidRDefault="00237CCC" w:rsidP="004F5AFB">
            <w:pPr>
              <w:rPr>
                <w:lang w:bidi="x-none"/>
              </w:rPr>
            </w:pPr>
            <w:r w:rsidRPr="005309E2">
              <w:rPr>
                <w:b/>
                <w:lang w:bidi="x-none"/>
              </w:rPr>
              <w:t xml:space="preserve">This lesson aims to </w:t>
            </w:r>
            <w:r w:rsidR="0039616A">
              <w:rPr>
                <w:lang w:bidi="x-none"/>
              </w:rPr>
              <w:t xml:space="preserve">assist students in developing their own understanding of the word discourse, how </w:t>
            </w:r>
            <w:r w:rsidR="0039616A" w:rsidRPr="0039616A">
              <w:rPr>
                <w:i/>
                <w:lang w:bidi="x-none"/>
              </w:rPr>
              <w:t xml:space="preserve">academic </w:t>
            </w:r>
            <w:r w:rsidR="0039616A">
              <w:rPr>
                <w:lang w:bidi="x-none"/>
              </w:rPr>
              <w:t xml:space="preserve">discourse functions and proceeds, and how writing a paper for a course is by definition entering an academic discourse. </w:t>
            </w:r>
            <w:r w:rsidRPr="005309E2">
              <w:rPr>
                <w:b/>
                <w:lang w:bidi="x-none"/>
              </w:rPr>
              <w:t>This lesson activates prior knowledge of</w:t>
            </w:r>
            <w:r w:rsidR="0039616A">
              <w:rPr>
                <w:b/>
                <w:lang w:bidi="x-none"/>
              </w:rPr>
              <w:t xml:space="preserve"> </w:t>
            </w:r>
            <w:r w:rsidR="0039616A">
              <w:rPr>
                <w:lang w:bidi="x-none"/>
              </w:rPr>
              <w:t xml:space="preserve">the terms postulate, and thesis, and how postulating a thesis is an entry into an academic or scholarly discourse by making claim that serves as </w:t>
            </w:r>
            <w:proofErr w:type="gramStart"/>
            <w:r w:rsidR="0039616A">
              <w:rPr>
                <w:lang w:bidi="x-none"/>
              </w:rPr>
              <w:t>an a</w:t>
            </w:r>
            <w:proofErr w:type="gramEnd"/>
            <w:r w:rsidR="0039616A">
              <w:rPr>
                <w:lang w:bidi="x-none"/>
              </w:rPr>
              <w:t xml:space="preserve"> position in a discourse. </w:t>
            </w:r>
            <w:r w:rsidRPr="005309E2">
              <w:rPr>
                <w:b/>
                <w:lang w:bidi="x-none"/>
              </w:rPr>
              <w:t>Students will be able to</w:t>
            </w:r>
            <w:r w:rsidR="005C1CA9" w:rsidRPr="005309E2">
              <w:rPr>
                <w:b/>
                <w:lang w:bidi="x-none"/>
              </w:rPr>
              <w:t xml:space="preserve"> </w:t>
            </w:r>
            <w:r w:rsidR="005C1CA9" w:rsidRPr="005309E2">
              <w:rPr>
                <w:lang w:bidi="x-none"/>
              </w:rPr>
              <w:t>participate in a gu</w:t>
            </w:r>
            <w:r w:rsidR="0039616A">
              <w:rPr>
                <w:lang w:bidi="x-none"/>
              </w:rPr>
              <w:t>ided inquiry into the use of 11</w:t>
            </w:r>
            <w:r w:rsidR="005C1CA9" w:rsidRPr="005309E2">
              <w:rPr>
                <w:lang w:bidi="x-none"/>
              </w:rPr>
              <w:t xml:space="preserve"> rhetorical figures, as below, to guide</w:t>
            </w:r>
            <w:r w:rsidR="0039616A">
              <w:rPr>
                <w:lang w:bidi="x-none"/>
              </w:rPr>
              <w:t xml:space="preserve"> them in entering a discourse by make a concise statement on the current state of that discourse—i.e. what is currently under discussion in a given issue, and by whom. This exercise leads, by acknowledging that discourse, to postulating theses,</w:t>
            </w:r>
            <w:r w:rsidR="004F5AFB">
              <w:rPr>
                <w:lang w:bidi="x-none"/>
              </w:rPr>
              <w:t xml:space="preserve"> then</w:t>
            </w:r>
            <w:r w:rsidR="0039616A">
              <w:rPr>
                <w:lang w:bidi="x-none"/>
              </w:rPr>
              <w:t xml:space="preserve"> </w:t>
            </w:r>
            <w:r w:rsidR="005C1CA9" w:rsidRPr="005309E2">
              <w:rPr>
                <w:lang w:bidi="x-none"/>
              </w:rPr>
              <w:t>developing arguments in a variety of essay</w:t>
            </w:r>
            <w:r w:rsidR="00667549">
              <w:rPr>
                <w:lang w:bidi="x-none"/>
              </w:rPr>
              <w:t>s</w:t>
            </w:r>
            <w:r w:rsidR="005C1CA9" w:rsidRPr="005309E2">
              <w:rPr>
                <w:lang w:bidi="x-none"/>
              </w:rPr>
              <w:t xml:space="preserve"> and synthetic research papers across the high school curriculum.</w:t>
            </w:r>
            <w:r w:rsidR="00485AE3">
              <w:rPr>
                <w:lang w:bidi="x-none"/>
              </w:rPr>
              <w:t xml:space="preserve"> Students will be able to </w:t>
            </w:r>
            <w:r w:rsidR="0039616A">
              <w:rPr>
                <w:lang w:bidi="x-none"/>
              </w:rPr>
              <w:t xml:space="preserve">use any or all of eleven rhetorical figures taken from </w:t>
            </w:r>
            <w:r w:rsidR="004F5AFB">
              <w:rPr>
                <w:lang w:bidi="x-none"/>
              </w:rPr>
              <w:t xml:space="preserve">(as below) Gerald Graff and Kathy </w:t>
            </w:r>
            <w:proofErr w:type="spellStart"/>
            <w:r w:rsidR="004F5AFB">
              <w:rPr>
                <w:lang w:bidi="x-none"/>
              </w:rPr>
              <w:t>Birkenstein’s</w:t>
            </w:r>
            <w:proofErr w:type="spellEnd"/>
            <w:r w:rsidR="004F5AFB">
              <w:rPr>
                <w:lang w:bidi="x-none"/>
              </w:rPr>
              <w:t xml:space="preserve"> book </w:t>
            </w:r>
            <w:r w:rsidR="004F5AFB">
              <w:rPr>
                <w:i/>
                <w:lang w:bidi="x-none"/>
              </w:rPr>
              <w:t>They Say/</w:t>
            </w:r>
            <w:proofErr w:type="spellStart"/>
            <w:r w:rsidR="004F5AFB">
              <w:rPr>
                <w:i/>
                <w:lang w:bidi="x-none"/>
              </w:rPr>
              <w:t>ISay</w:t>
            </w:r>
            <w:proofErr w:type="spellEnd"/>
            <w:r w:rsidR="004F5AFB">
              <w:rPr>
                <w:i/>
                <w:lang w:bidi="x-none"/>
              </w:rPr>
              <w:t xml:space="preserve">: The Moves that Matter in Academic Writing. </w:t>
            </w:r>
            <w:r w:rsidR="00485AE3">
              <w:t>Students will also be able to participate in a writers’ workshop.</w:t>
            </w:r>
          </w:p>
        </w:tc>
      </w:tr>
      <w:tr w:rsidR="0080232E" w:rsidRPr="005309E2" w14:paraId="1847B966" w14:textId="77777777" w:rsidTr="000A1D2C">
        <w:trPr>
          <w:trHeight w:val="512"/>
        </w:trPr>
        <w:tc>
          <w:tcPr>
            <w:tcW w:w="10800" w:type="dxa"/>
            <w:shd w:val="clear" w:color="auto" w:fill="auto"/>
          </w:tcPr>
          <w:p w14:paraId="1C9EEF1C" w14:textId="5621CC35" w:rsidR="0080232E" w:rsidRPr="005309E2" w:rsidRDefault="0080232E" w:rsidP="004F5AFB">
            <w:pPr>
              <w:rPr>
                <w:b/>
                <w:lang w:bidi="x-none"/>
              </w:rPr>
            </w:pPr>
            <w:r w:rsidRPr="005309E2">
              <w:rPr>
                <w:b/>
                <w:lang w:bidi="x-none"/>
              </w:rPr>
              <w:t>Classroom Aim:</w:t>
            </w:r>
            <w:r w:rsidR="004F5AFB">
              <w:rPr>
                <w:b/>
                <w:lang w:bidi="x-none"/>
              </w:rPr>
              <w:t xml:space="preserve"> </w:t>
            </w:r>
            <w:r w:rsidR="004F5AFB">
              <w:rPr>
                <w:lang w:bidi="x-none"/>
              </w:rPr>
              <w:t>What is rhetoric? How can we use—or adapt—basic rhetorical figures to expose the current state of a scholarly discourse on a given issue?</w:t>
            </w:r>
          </w:p>
        </w:tc>
      </w:tr>
      <w:tr w:rsidR="00950311" w:rsidRPr="005309E2" w14:paraId="71A2A8DE" w14:textId="77777777" w:rsidTr="00327996">
        <w:tc>
          <w:tcPr>
            <w:tcW w:w="10800" w:type="dxa"/>
            <w:shd w:val="clear" w:color="auto" w:fill="auto"/>
          </w:tcPr>
          <w:p w14:paraId="2A11381E" w14:textId="45986020" w:rsidR="00950311" w:rsidRPr="005309E2" w:rsidRDefault="00237CCC" w:rsidP="006B7E52">
            <w:pPr>
              <w:rPr>
                <w:b/>
                <w:lang w:bidi="x-none"/>
              </w:rPr>
            </w:pPr>
            <w:r w:rsidRPr="005309E2">
              <w:rPr>
                <w:b/>
                <w:lang w:bidi="x-none"/>
              </w:rPr>
              <w:t>Do Now:</w:t>
            </w:r>
            <w:r w:rsidR="006B7E52">
              <w:rPr>
                <w:b/>
                <w:lang w:bidi="x-none"/>
              </w:rPr>
              <w:t xml:space="preserve"> </w:t>
            </w:r>
            <w:r w:rsidR="006B7E52">
              <w:rPr>
                <w:lang w:bidi="x-none"/>
              </w:rPr>
              <w:t xml:space="preserve">Focus on One Word Worksheet: </w:t>
            </w:r>
            <w:r w:rsidR="006B7E52">
              <w:rPr>
                <w:b/>
                <w:i/>
                <w:lang w:bidi="x-none"/>
              </w:rPr>
              <w:t>Discourse</w:t>
            </w:r>
          </w:p>
        </w:tc>
      </w:tr>
      <w:tr w:rsidR="00237CCC" w:rsidRPr="005309E2" w14:paraId="55EB51DF" w14:textId="77777777" w:rsidTr="00327996">
        <w:tc>
          <w:tcPr>
            <w:tcW w:w="10800" w:type="dxa"/>
            <w:shd w:val="clear" w:color="auto" w:fill="auto"/>
          </w:tcPr>
          <w:p w14:paraId="7E2E6BD2" w14:textId="43AAD166" w:rsidR="00237CCC" w:rsidRPr="005309E2" w:rsidRDefault="00237CCC" w:rsidP="00BB5C45">
            <w:pPr>
              <w:rPr>
                <w:b/>
                <w:lang w:bidi="x-none"/>
              </w:rPr>
            </w:pPr>
            <w:r w:rsidRPr="005309E2">
              <w:rPr>
                <w:b/>
                <w:lang w:bidi="x-none"/>
              </w:rPr>
              <w:t>Class Work:</w:t>
            </w:r>
            <w:r w:rsidR="00BB5C45">
              <w:rPr>
                <w:b/>
                <w:lang w:bidi="x-none"/>
              </w:rPr>
              <w:t xml:space="preserve"> </w:t>
            </w:r>
            <w:r w:rsidR="00BB5C45">
              <w:rPr>
                <w:lang w:bidi="x-none"/>
              </w:rPr>
              <w:t xml:space="preserve">Students, using several passages from essays culled from </w:t>
            </w:r>
            <w:r w:rsidR="00BB5C45">
              <w:rPr>
                <w:i/>
                <w:lang w:bidi="x-none"/>
              </w:rPr>
              <w:t xml:space="preserve">The New York Review of Books </w:t>
            </w:r>
            <w:r w:rsidR="00BB5C45">
              <w:rPr>
                <w:lang w:bidi="x-none"/>
              </w:rPr>
              <w:t>(and adapted if appropriate), will use any or all of eleven rhetorical templates to summarize the state of the discourse each passage addresses.</w:t>
            </w:r>
          </w:p>
        </w:tc>
      </w:tr>
      <w:tr w:rsidR="00237CCC" w:rsidRPr="005309E2" w14:paraId="79953F00" w14:textId="77777777" w:rsidTr="00327996">
        <w:tc>
          <w:tcPr>
            <w:tcW w:w="10800" w:type="dxa"/>
            <w:shd w:val="clear" w:color="auto" w:fill="auto"/>
          </w:tcPr>
          <w:p w14:paraId="3FB0B825" w14:textId="37364AA6" w:rsidR="00237CCC" w:rsidRPr="004F5AFB" w:rsidRDefault="00E05B12" w:rsidP="00237CCC">
            <w:pPr>
              <w:rPr>
                <w:lang w:bidi="x-none"/>
              </w:rPr>
            </w:pPr>
            <w:r w:rsidRPr="005309E2">
              <w:rPr>
                <w:b/>
                <w:lang w:bidi="x-none"/>
              </w:rPr>
              <w:t>Independent Practice:</w:t>
            </w:r>
            <w:r w:rsidR="004F5AFB">
              <w:rPr>
                <w:b/>
                <w:lang w:bidi="x-none"/>
              </w:rPr>
              <w:t xml:space="preserve"> </w:t>
            </w:r>
            <w:r w:rsidR="004F5AFB">
              <w:rPr>
                <w:lang w:bidi="x-none"/>
              </w:rPr>
              <w:t>None</w:t>
            </w:r>
          </w:p>
        </w:tc>
      </w:tr>
    </w:tbl>
    <w:p w14:paraId="58A4F1D1" w14:textId="1066F4E9" w:rsidR="0048453C" w:rsidRPr="0048453C" w:rsidRDefault="00950311" w:rsidP="0048453C">
      <w:pPr>
        <w:outlineLvl w:val="0"/>
        <w:rPr>
          <w:b/>
        </w:rPr>
      </w:pPr>
      <w:bookmarkStart w:id="2" w:name="OLE_LINK3"/>
      <w:bookmarkStart w:id="3" w:name="OLE_LINK4"/>
      <w:r w:rsidRPr="005309E2">
        <w:rPr>
          <w:b/>
        </w:rPr>
        <w:t>Methods and Materials</w:t>
      </w:r>
      <w:r w:rsidR="00237CCC" w:rsidRPr="005309E2">
        <w:rPr>
          <w:b/>
        </w:rPr>
        <w:t xml:space="preserve">: </w:t>
      </w:r>
      <w:r w:rsidR="0010347C">
        <w:t xml:space="preserve">Because critical thinking is primarily the product of acumen and the ability to employ and synthesize elements of acumen, it is difficult per se to teach. Deep prior knowledge drives critical thinking. The will to criticize, to achieve validity, must be presented in the form of a logical argument. This lesson aspires to train students to understand the use of rhetorical figures in argumentation. </w:t>
      </w:r>
      <w:r w:rsidR="0010347C" w:rsidRPr="009F38CE">
        <w:t>Gerald</w:t>
      </w:r>
      <w:r w:rsidR="0010347C">
        <w:t xml:space="preserve"> Graff and Cathy </w:t>
      </w:r>
      <w:proofErr w:type="spellStart"/>
      <w:r w:rsidR="0010347C">
        <w:t>Birkenstein’s</w:t>
      </w:r>
      <w:proofErr w:type="spellEnd"/>
      <w:r w:rsidR="0010347C">
        <w:t xml:space="preserve"> book</w:t>
      </w:r>
      <w:r w:rsidR="0010347C" w:rsidRPr="009F38CE">
        <w:t xml:space="preserve"> </w:t>
      </w:r>
      <w:r w:rsidR="0010347C" w:rsidRPr="00485AE3">
        <w:rPr>
          <w:i/>
        </w:rPr>
        <w:t>They Say/I Say: The Moves That Matter in Academic Writin</w:t>
      </w:r>
      <w:r w:rsidR="0010347C">
        <w:rPr>
          <w:u w:val="single"/>
        </w:rPr>
        <w:t>g</w:t>
      </w:r>
      <w:r w:rsidR="0010347C" w:rsidRPr="009F38CE">
        <w:t xml:space="preserve"> </w:t>
      </w:r>
      <w:r w:rsidR="0010347C">
        <w:t>(</w:t>
      </w:r>
      <w:r w:rsidR="0010347C" w:rsidRPr="009F38CE">
        <w:t>New York: Norton, 2010</w:t>
      </w:r>
      <w:r w:rsidR="0010347C">
        <w:t xml:space="preserve">) informs this lesson and its methods almost exclusively. Indeed, this lesson advances from the argumentative strategy the authors delineate in chapter </w:t>
      </w:r>
      <w:r w:rsidR="00A37D62">
        <w:t>one</w:t>
      </w:r>
      <w:r w:rsidR="0010347C">
        <w:t xml:space="preserve"> of their book, to wit </w:t>
      </w:r>
      <w:r w:rsidR="00A37D62">
        <w:t>using rhetorical templat</w:t>
      </w:r>
      <w:r w:rsidR="00BB5C45">
        <w:t>es to introduce what “they say” or, as the chapter’s subheading describes it, “starting with what others are saying</w:t>
      </w:r>
      <w:r w:rsidR="0010347C">
        <w:t>.</w:t>
      </w:r>
      <w:r w:rsidR="00BB5C45">
        <w:t>”</w:t>
      </w:r>
      <w:r w:rsidR="000A1D2C">
        <w:t xml:space="preserve"> The rhetorical templates for use in this unit fall under the headings “Introducing what ‘They Say’” and “Introducing ‘Standard Views.’”</w:t>
      </w:r>
      <w:r w:rsidR="0010347C">
        <w:t xml:space="preserve"> </w:t>
      </w:r>
      <w:r w:rsidR="0048453C">
        <w:t xml:space="preserve">For more on the theoretical aspects of the unit of which this lesson is a part, see the </w:t>
      </w:r>
      <w:r w:rsidR="0048453C" w:rsidRPr="0048453C">
        <w:rPr>
          <w:b/>
        </w:rPr>
        <w:t xml:space="preserve">English Language Arts, </w:t>
      </w:r>
      <w:r w:rsidR="0048453C" w:rsidRPr="0048453C">
        <w:rPr>
          <w:b/>
          <w:i/>
        </w:rPr>
        <w:t>Arguing Your Case,</w:t>
      </w:r>
      <w:r w:rsidR="0048453C" w:rsidRPr="0048453C">
        <w:rPr>
          <w:b/>
        </w:rPr>
        <w:t xml:space="preserve"> Overarching Unit Plan</w:t>
      </w:r>
    </w:p>
    <w:p w14:paraId="4049E7CA" w14:textId="7C24E3DF" w:rsidR="0010347C" w:rsidRDefault="0010347C" w:rsidP="0010347C"/>
    <w:p w14:paraId="5F8D7EC2" w14:textId="59D066D7" w:rsidR="0010347C" w:rsidRDefault="0010347C" w:rsidP="0010347C">
      <w:r>
        <w:tab/>
        <w:t>As above, th</w:t>
      </w:r>
      <w:r w:rsidR="00BB5C45">
        <w:t xml:space="preserve">is is a student-centered lesson, using teacher-authored materials, </w:t>
      </w:r>
      <w:r>
        <w:t xml:space="preserve">that involves students in the actual work of </w:t>
      </w:r>
      <w:r w:rsidR="00BB5C45">
        <w:t>summarizing the current state of scholarly discourse</w:t>
      </w:r>
      <w:r>
        <w:t xml:space="preserve"> using the rhetorical figure limned above. In terms of classroom instruction, therefore, students will work with one another and their teacher in a writers’ workshop format to gain insight into the use of this particular method of</w:t>
      </w:r>
      <w:r w:rsidR="00BB5C45">
        <w:t xml:space="preserve"> summarizing and characterizing</w:t>
      </w:r>
      <w:r>
        <w:t>. Because this lesson may be ada</w:t>
      </w:r>
      <w:r w:rsidR="006E4838">
        <w:t>pted to serve a wide band of students in terms of their interests and abilities, the work it prescribes may be differentiated to meet those interests, and especially, abilities. In fact, this lesson may be adapted to the level of a fundamental literacy exercise for students struggling with a variety of cognitive disorders and disabilities.</w:t>
      </w:r>
      <w:r w:rsidR="00BB5C45">
        <w:t xml:space="preserve"> Therefore, there may be as many as four different versions of the work for this lesson.</w:t>
      </w:r>
    </w:p>
    <w:p w14:paraId="7021C005" w14:textId="77777777" w:rsidR="00BB5C45" w:rsidRDefault="00BB5C45" w:rsidP="0010347C"/>
    <w:p w14:paraId="2B063D05" w14:textId="77777777" w:rsidR="00BB5C45" w:rsidRDefault="00BB5C45" w:rsidP="0010347C"/>
    <w:p w14:paraId="295FA669" w14:textId="77777777" w:rsidR="00BB5C45" w:rsidRDefault="00BB5C45" w:rsidP="0010347C"/>
    <w:p w14:paraId="557FC975" w14:textId="77777777" w:rsidR="00BB5C45" w:rsidRDefault="00BB5C45" w:rsidP="0010347C"/>
    <w:p w14:paraId="22607A01" w14:textId="77777777" w:rsidR="00BB5C45" w:rsidRDefault="00BB5C45" w:rsidP="0010347C"/>
    <w:p w14:paraId="6A352C70" w14:textId="77777777" w:rsidR="00BB5C45" w:rsidRDefault="00BB5C45" w:rsidP="0010347C"/>
    <w:p w14:paraId="14F6A7BF" w14:textId="77777777" w:rsidR="00BB5C45" w:rsidRPr="009F38CE" w:rsidRDefault="00BB5C45" w:rsidP="0010347C"/>
    <w:p w14:paraId="034B55F8" w14:textId="5A806FE2" w:rsidR="00950311" w:rsidRPr="0010347C" w:rsidRDefault="00950311" w:rsidP="00950311"/>
    <w:p w14:paraId="6434CC44" w14:textId="77777777" w:rsidR="005C0A1D" w:rsidRPr="005309E2" w:rsidRDefault="005C0A1D" w:rsidP="00950311">
      <w:pPr>
        <w:rPr>
          <w:b/>
        </w:rPr>
      </w:pPr>
    </w:p>
    <w:p w14:paraId="3F509784" w14:textId="3B87B81D" w:rsidR="005C0A1D" w:rsidRPr="005309E2" w:rsidRDefault="005C0A1D" w:rsidP="005C0A1D">
      <w:bookmarkStart w:id="4" w:name="OLE_LINK11"/>
      <w:bookmarkStart w:id="5" w:name="OLE_LINK12"/>
      <w:r w:rsidRPr="005309E2">
        <w:rPr>
          <w:b/>
        </w:rPr>
        <w:t>Need for Lesson</w:t>
      </w:r>
      <w:r w:rsidRPr="005309E2">
        <w:t xml:space="preserve">: </w:t>
      </w:r>
      <w:r w:rsidR="008C0598">
        <w:t>ELA ARGMNT UP1</w:t>
      </w:r>
      <w:r w:rsidR="004F5AFB">
        <w:t xml:space="preserve"> LP3</w:t>
      </w:r>
      <w:r w:rsidR="006E4838">
        <w:t>*</w:t>
      </w:r>
      <w:proofErr w:type="spellStart"/>
      <w:r w:rsidR="004F5AFB">
        <w:t>lpotl</w:t>
      </w:r>
      <w:proofErr w:type="spellEnd"/>
      <w:r w:rsidR="006E4838">
        <w:t>;</w:t>
      </w:r>
      <w:r w:rsidR="004F5AFB">
        <w:t xml:space="preserve"> ELA ARGMNT UP1 LP3*</w:t>
      </w:r>
      <w:proofErr w:type="spellStart"/>
      <w:r w:rsidR="004F5AFB">
        <w:t>dn</w:t>
      </w:r>
      <w:proofErr w:type="spellEnd"/>
      <w:r w:rsidR="004F5AFB">
        <w:t>; ELA ARGMNT UP1 LP3*</w:t>
      </w:r>
      <w:proofErr w:type="spellStart"/>
      <w:r w:rsidR="004F5AFB">
        <w:t>ws</w:t>
      </w:r>
      <w:proofErr w:type="spellEnd"/>
    </w:p>
    <w:p w14:paraId="11D16DBC" w14:textId="77777777" w:rsidR="005C0A1D" w:rsidRPr="005309E2" w:rsidRDefault="005C0A1D" w:rsidP="005C0A1D"/>
    <w:p w14:paraId="2A6B836A" w14:textId="4DF52D8B" w:rsidR="005C0A1D" w:rsidRDefault="005C0A1D" w:rsidP="005C0A1D">
      <w:pPr>
        <w:rPr>
          <w:b/>
        </w:rPr>
      </w:pPr>
      <w:r w:rsidRPr="005309E2">
        <w:rPr>
          <w:b/>
        </w:rPr>
        <w:t>Key Points</w:t>
      </w:r>
      <w:r w:rsidR="0039665D" w:rsidRPr="005309E2">
        <w:rPr>
          <w:b/>
        </w:rPr>
        <w:t xml:space="preserve"> and Connections</w:t>
      </w:r>
      <w:r w:rsidRPr="005309E2">
        <w:rPr>
          <w:b/>
        </w:rPr>
        <w:t>:</w:t>
      </w:r>
    </w:p>
    <w:p w14:paraId="558E02CF" w14:textId="14CC39F6" w:rsidR="00BB5C45" w:rsidRPr="00BB5C45" w:rsidRDefault="00BB5C45" w:rsidP="00BB5C45">
      <w:pPr>
        <w:pStyle w:val="ListParagraph"/>
        <w:numPr>
          <w:ilvl w:val="0"/>
          <w:numId w:val="2"/>
        </w:numPr>
        <w:rPr>
          <w:b/>
        </w:rPr>
      </w:pPr>
      <w:r>
        <w:rPr>
          <w:b/>
        </w:rPr>
        <w:t xml:space="preserve">Ask students: </w:t>
      </w:r>
      <w:r>
        <w:t>can they think of ways to alter the rhetorical figures they are provided to articulate these tropes in their own voice?</w:t>
      </w:r>
    </w:p>
    <w:p w14:paraId="799D433C" w14:textId="77777777" w:rsidR="005C0A1D" w:rsidRPr="005309E2" w:rsidRDefault="005C0A1D" w:rsidP="005C0A1D">
      <w:pPr>
        <w:rPr>
          <w:b/>
        </w:rPr>
      </w:pPr>
    </w:p>
    <w:p w14:paraId="21294AD0" w14:textId="77777777" w:rsidR="005C0A1D" w:rsidRDefault="005C0A1D" w:rsidP="005C0A1D">
      <w:pPr>
        <w:rPr>
          <w:b/>
        </w:rPr>
      </w:pPr>
      <w:r w:rsidRPr="005309E2">
        <w:rPr>
          <w:b/>
        </w:rPr>
        <w:t>Essential Questions:</w:t>
      </w:r>
    </w:p>
    <w:p w14:paraId="2612F207" w14:textId="6BA895DF" w:rsidR="00485AE3" w:rsidRDefault="00485AE3" w:rsidP="00485AE3">
      <w:pPr>
        <w:pStyle w:val="ListParagraph"/>
        <w:numPr>
          <w:ilvl w:val="0"/>
          <w:numId w:val="1"/>
        </w:numPr>
        <w:rPr>
          <w:b/>
        </w:rPr>
      </w:pPr>
      <w:r>
        <w:rPr>
          <w:b/>
        </w:rPr>
        <w:t xml:space="preserve">What </w:t>
      </w:r>
      <w:r>
        <w:t>is a quarrel?</w:t>
      </w:r>
    </w:p>
    <w:p w14:paraId="41E3E5F5" w14:textId="3B64D382" w:rsidR="00485AE3" w:rsidRPr="00485AE3" w:rsidRDefault="00485AE3" w:rsidP="00485AE3">
      <w:pPr>
        <w:pStyle w:val="ListParagraph"/>
        <w:numPr>
          <w:ilvl w:val="0"/>
          <w:numId w:val="1"/>
        </w:numPr>
        <w:rPr>
          <w:b/>
        </w:rPr>
      </w:pPr>
      <w:r>
        <w:rPr>
          <w:b/>
        </w:rPr>
        <w:t xml:space="preserve">What </w:t>
      </w:r>
      <w:r>
        <w:t>is an argument?</w:t>
      </w:r>
    </w:p>
    <w:p w14:paraId="3D8A74C3" w14:textId="4100B4FD" w:rsidR="00485AE3" w:rsidRPr="00485AE3" w:rsidRDefault="00485AE3" w:rsidP="00485AE3">
      <w:pPr>
        <w:pStyle w:val="ListParagraph"/>
        <w:numPr>
          <w:ilvl w:val="0"/>
          <w:numId w:val="1"/>
        </w:numPr>
        <w:rPr>
          <w:b/>
        </w:rPr>
      </w:pPr>
      <w:r>
        <w:rPr>
          <w:b/>
        </w:rPr>
        <w:t xml:space="preserve">What </w:t>
      </w:r>
      <w:r>
        <w:t>is the difference between an argument and a quarrel?</w:t>
      </w:r>
    </w:p>
    <w:p w14:paraId="4D188705" w14:textId="0147FF17" w:rsidR="00485AE3" w:rsidRPr="00485AE3" w:rsidRDefault="00485AE3" w:rsidP="00485AE3">
      <w:pPr>
        <w:pStyle w:val="ListParagraph"/>
        <w:numPr>
          <w:ilvl w:val="0"/>
          <w:numId w:val="1"/>
        </w:numPr>
        <w:rPr>
          <w:b/>
        </w:rPr>
      </w:pPr>
      <w:r>
        <w:rPr>
          <w:b/>
        </w:rPr>
        <w:t xml:space="preserve">What </w:t>
      </w:r>
      <w:r>
        <w:t>is a thesis?</w:t>
      </w:r>
    </w:p>
    <w:p w14:paraId="623408F1" w14:textId="54E88109" w:rsidR="00485AE3" w:rsidRPr="004F5AFB" w:rsidRDefault="00485AE3" w:rsidP="00485AE3">
      <w:pPr>
        <w:pStyle w:val="ListParagraph"/>
        <w:numPr>
          <w:ilvl w:val="0"/>
          <w:numId w:val="1"/>
        </w:numPr>
        <w:rPr>
          <w:b/>
        </w:rPr>
      </w:pPr>
      <w:r>
        <w:rPr>
          <w:b/>
        </w:rPr>
        <w:t xml:space="preserve">What </w:t>
      </w:r>
      <w:r w:rsidR="004F5AFB">
        <w:t>is a rhetoric?</w:t>
      </w:r>
    </w:p>
    <w:p w14:paraId="32B495ED" w14:textId="5E0BFC0A" w:rsidR="004F5AFB" w:rsidRPr="004F5AFB" w:rsidRDefault="004F5AFB" w:rsidP="00485AE3">
      <w:pPr>
        <w:pStyle w:val="ListParagraph"/>
        <w:numPr>
          <w:ilvl w:val="0"/>
          <w:numId w:val="1"/>
        </w:numPr>
        <w:rPr>
          <w:b/>
        </w:rPr>
      </w:pPr>
      <w:r>
        <w:rPr>
          <w:b/>
        </w:rPr>
        <w:t xml:space="preserve">What </w:t>
      </w:r>
      <w:r>
        <w:t>are rhetorical figures (or templates)?</w:t>
      </w:r>
    </w:p>
    <w:p w14:paraId="1ADAFC41" w14:textId="2D8B54D9" w:rsidR="004F5AFB" w:rsidRPr="004F5AFB" w:rsidRDefault="004F5AFB" w:rsidP="00485AE3">
      <w:pPr>
        <w:pStyle w:val="ListParagraph"/>
        <w:numPr>
          <w:ilvl w:val="0"/>
          <w:numId w:val="1"/>
        </w:numPr>
        <w:rPr>
          <w:b/>
        </w:rPr>
      </w:pPr>
      <w:r>
        <w:rPr>
          <w:b/>
        </w:rPr>
        <w:t xml:space="preserve">How </w:t>
      </w:r>
      <w:r>
        <w:t>can we use rhetorical figures or templates in our own writing to develop an argument?</w:t>
      </w:r>
    </w:p>
    <w:p w14:paraId="02A56AA9" w14:textId="1EF97F95" w:rsidR="004F5AFB" w:rsidRPr="00485AE3" w:rsidRDefault="004F5AFB" w:rsidP="00485AE3">
      <w:pPr>
        <w:pStyle w:val="ListParagraph"/>
        <w:numPr>
          <w:ilvl w:val="0"/>
          <w:numId w:val="1"/>
        </w:numPr>
        <w:rPr>
          <w:b/>
        </w:rPr>
      </w:pPr>
      <w:r>
        <w:rPr>
          <w:b/>
        </w:rPr>
        <w:t xml:space="preserve">How </w:t>
      </w:r>
      <w:r>
        <w:t>can we alter or adapt rhetorical figures and templates to more suit our writing needs and styles?</w:t>
      </w:r>
    </w:p>
    <w:p w14:paraId="3D24BE24" w14:textId="4832895F" w:rsidR="00485AE3" w:rsidRPr="00485AE3" w:rsidRDefault="00485AE3" w:rsidP="00485AE3">
      <w:pPr>
        <w:pStyle w:val="ListParagraph"/>
        <w:numPr>
          <w:ilvl w:val="0"/>
          <w:numId w:val="1"/>
        </w:numPr>
        <w:rPr>
          <w:b/>
        </w:rPr>
      </w:pPr>
      <w:r>
        <w:rPr>
          <w:b/>
        </w:rPr>
        <w:t xml:space="preserve">What </w:t>
      </w:r>
      <w:r>
        <w:t xml:space="preserve">is logic? </w:t>
      </w:r>
    </w:p>
    <w:p w14:paraId="17F90B48" w14:textId="2D1C537C" w:rsidR="00485AE3" w:rsidRPr="004F5AFB" w:rsidRDefault="00485AE3" w:rsidP="00485AE3">
      <w:pPr>
        <w:pStyle w:val="ListParagraph"/>
        <w:numPr>
          <w:ilvl w:val="0"/>
          <w:numId w:val="1"/>
        </w:numPr>
        <w:rPr>
          <w:b/>
        </w:rPr>
      </w:pPr>
      <w:r w:rsidRPr="004F5AFB">
        <w:rPr>
          <w:b/>
        </w:rPr>
        <w:t xml:space="preserve">What </w:t>
      </w:r>
      <w:r w:rsidRPr="004F5AFB">
        <w:t>is a fallacy?</w:t>
      </w:r>
    </w:p>
    <w:p w14:paraId="51E10875" w14:textId="77777777" w:rsidR="0039665D" w:rsidRPr="004F5AFB" w:rsidRDefault="0039665D" w:rsidP="005C0A1D">
      <w:pPr>
        <w:rPr>
          <w:b/>
          <w:i/>
        </w:rPr>
      </w:pPr>
    </w:p>
    <w:p w14:paraId="410E5DF9" w14:textId="64A034B8" w:rsidR="0039665D" w:rsidRPr="004F5AFB" w:rsidRDefault="0039665D" w:rsidP="005C0A1D">
      <w:pPr>
        <w:rPr>
          <w:i/>
        </w:rPr>
      </w:pPr>
      <w:bookmarkStart w:id="6" w:name="_GoBack"/>
      <w:r w:rsidRPr="00446AC8">
        <w:rPr>
          <w:b/>
        </w:rPr>
        <w:t>Next Lesson:</w:t>
      </w:r>
      <w:r w:rsidRPr="004F5AFB">
        <w:rPr>
          <w:b/>
          <w:i/>
        </w:rPr>
        <w:t xml:space="preserve"> </w:t>
      </w:r>
      <w:bookmarkEnd w:id="6"/>
      <w:r w:rsidR="004F5AFB" w:rsidRPr="004F5AFB">
        <w:rPr>
          <w:i/>
        </w:rPr>
        <w:t>English Languages Arts, Arguing Your Case</w:t>
      </w:r>
      <w:r w:rsidR="004F5AFB" w:rsidRPr="004F5AFB">
        <w:t xml:space="preserve">, Unit 1, Lesson 4: </w:t>
      </w:r>
      <w:r w:rsidR="004F5AFB" w:rsidRPr="004F5AFB">
        <w:rPr>
          <w:i/>
        </w:rPr>
        <w:t>They Say, Part II.</w:t>
      </w:r>
    </w:p>
    <w:p w14:paraId="588D49AF" w14:textId="77777777" w:rsidR="005C0A1D" w:rsidRPr="00327996" w:rsidRDefault="005C0A1D" w:rsidP="00950311">
      <w:pPr>
        <w:rPr>
          <w:b/>
        </w:rPr>
      </w:pPr>
    </w:p>
    <w:bookmarkEnd w:id="0"/>
    <w:bookmarkEnd w:id="1"/>
    <w:bookmarkEnd w:id="2"/>
    <w:bookmarkEnd w:id="3"/>
    <w:bookmarkEnd w:id="4"/>
    <w:bookmarkEnd w:id="5"/>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482F18"/>
    <w:multiLevelType w:val="hybridMultilevel"/>
    <w:tmpl w:val="F21486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1A31FB"/>
    <w:multiLevelType w:val="hybridMultilevel"/>
    <w:tmpl w:val="C81EC92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A1D2C"/>
    <w:rsid w:val="000E3C73"/>
    <w:rsid w:val="000E616F"/>
    <w:rsid w:val="0010347C"/>
    <w:rsid w:val="00210DBB"/>
    <w:rsid w:val="00237CCC"/>
    <w:rsid w:val="003121A9"/>
    <w:rsid w:val="00327996"/>
    <w:rsid w:val="0039616A"/>
    <w:rsid w:val="0039665D"/>
    <w:rsid w:val="00446AC8"/>
    <w:rsid w:val="0048453C"/>
    <w:rsid w:val="00485AE3"/>
    <w:rsid w:val="0049120A"/>
    <w:rsid w:val="004F5AFB"/>
    <w:rsid w:val="005309E2"/>
    <w:rsid w:val="005629E4"/>
    <w:rsid w:val="005C0A1D"/>
    <w:rsid w:val="005C1CA9"/>
    <w:rsid w:val="00667549"/>
    <w:rsid w:val="006B7E52"/>
    <w:rsid w:val="006E4838"/>
    <w:rsid w:val="007D7EAC"/>
    <w:rsid w:val="0080232E"/>
    <w:rsid w:val="00813673"/>
    <w:rsid w:val="00830E00"/>
    <w:rsid w:val="008C0598"/>
    <w:rsid w:val="00950311"/>
    <w:rsid w:val="00955468"/>
    <w:rsid w:val="00993629"/>
    <w:rsid w:val="00996471"/>
    <w:rsid w:val="00A37D62"/>
    <w:rsid w:val="00BB5C45"/>
    <w:rsid w:val="00C53446"/>
    <w:rsid w:val="00C66021"/>
    <w:rsid w:val="00D12381"/>
    <w:rsid w:val="00DC3FB7"/>
    <w:rsid w:val="00E05B12"/>
    <w:rsid w:val="00E627C8"/>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85A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734</Words>
  <Characters>4190</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dcterms:created xsi:type="dcterms:W3CDTF">2012-08-13T12:27:00Z</dcterms:created>
  <dcterms:modified xsi:type="dcterms:W3CDTF">2017-12-19T13:35:00Z</dcterms:modified>
</cp:coreProperties>
</file>