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178813" w14:textId="77777777" w:rsidR="002B3D40" w:rsidRPr="002C4A98" w:rsidRDefault="002B3D40" w:rsidP="002B3D40">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5190E8BB" w14:textId="26BBA490" w:rsidR="00E841DE" w:rsidRDefault="00EE028A" w:rsidP="00E841DE">
      <w:r w:rsidRPr="00E841DE">
        <w:rPr>
          <w:b/>
        </w:rPr>
        <w:t xml:space="preserve">English Language Arts, </w:t>
      </w:r>
      <w:r w:rsidR="0018352C" w:rsidRPr="00E841DE">
        <w:rPr>
          <w:b/>
          <w:i/>
        </w:rPr>
        <w:t>Arguing Your Case</w:t>
      </w:r>
      <w:r w:rsidR="00B72FF9" w:rsidRPr="00E841DE">
        <w:rPr>
          <w:b/>
        </w:rPr>
        <w:t xml:space="preserve"> Unit</w:t>
      </w:r>
      <w:r w:rsidR="00DA3389">
        <w:rPr>
          <w:b/>
        </w:rPr>
        <w:t xml:space="preserve"> 1</w:t>
      </w:r>
      <w:r w:rsidR="00B72FF9" w:rsidRPr="00E841DE">
        <w:rPr>
          <w:b/>
        </w:rPr>
        <w:t xml:space="preserve">, </w:t>
      </w:r>
      <w:r w:rsidR="00DA3389">
        <w:rPr>
          <w:b/>
        </w:rPr>
        <w:t>Lesson 3 Worksheet</w:t>
      </w:r>
      <w:r w:rsidRPr="00E841DE">
        <w:rPr>
          <w:b/>
        </w:rPr>
        <w:t>:</w:t>
      </w:r>
      <w:r w:rsidR="00DA3389">
        <w:rPr>
          <w:b/>
        </w:rPr>
        <w:t xml:space="preserve"> </w:t>
      </w:r>
      <w:r w:rsidR="00DA3389">
        <w:rPr>
          <w:b/>
          <w:i/>
        </w:rPr>
        <w:t>They Say, Part I.</w:t>
      </w:r>
      <w:r w:rsidR="00E841DE" w:rsidRPr="00E841DE">
        <w:rPr>
          <w:b/>
        </w:rPr>
        <w:t xml:space="preserve"> </w:t>
      </w:r>
      <w:r w:rsidR="00E841DE">
        <w:rPr>
          <w:b/>
        </w:rPr>
        <w:t xml:space="preserve">An </w:t>
      </w:r>
      <w:r w:rsidR="00912D86">
        <w:rPr>
          <w:b/>
          <w:i/>
        </w:rPr>
        <w:t>a</w:t>
      </w:r>
      <w:r w:rsidR="00E841DE">
        <w:rPr>
          <w:b/>
          <w:i/>
        </w:rPr>
        <w:t>rgument</w:t>
      </w:r>
      <w:r w:rsidR="00E841DE">
        <w:rPr>
          <w:b/>
        </w:rPr>
        <w:t xml:space="preserve">, </w:t>
      </w:r>
      <w:r w:rsidR="00E841DE">
        <w:t xml:space="preserve">as </w:t>
      </w:r>
      <w:r w:rsidR="00E841DE" w:rsidRPr="00C41ED2">
        <w:rPr>
          <w:i/>
        </w:rPr>
        <w:t>Merriam-Webster’s Collegiate Dictionary</w:t>
      </w:r>
      <w:r w:rsidR="00E841DE">
        <w:t>, 11</w:t>
      </w:r>
      <w:r w:rsidR="00E841DE" w:rsidRPr="00C41ED2">
        <w:rPr>
          <w:vertAlign w:val="superscript"/>
        </w:rPr>
        <w:t>th</w:t>
      </w:r>
      <w:r w:rsidR="00E841DE">
        <w:t xml:space="preserve"> Edition (Springfield, MA: Merriam-Webster, 2009) points out, is </w:t>
      </w:r>
      <w:r w:rsidR="00E841DE" w:rsidRPr="00365764">
        <w:rPr>
          <w:i/>
        </w:rPr>
        <w:t>“a discourse intended to persuade”</w:t>
      </w:r>
      <w:r w:rsidR="00E841DE">
        <w:t xml:space="preserve"> and “</w:t>
      </w:r>
      <w:r w:rsidR="00E841DE" w:rsidRPr="00365764">
        <w:rPr>
          <w:i/>
        </w:rPr>
        <w:t>a coherent series of statements leading from a premise to a conclusion.”</w:t>
      </w:r>
      <w:r w:rsidR="00E841DE">
        <w:t xml:space="preserve"> Merriam-Webster’s explains that something is coherent when it is </w:t>
      </w:r>
      <w:r w:rsidR="00E841DE" w:rsidRPr="00365764">
        <w:rPr>
          <w:i/>
        </w:rPr>
        <w:t>“logically or aesthetically ordered,”</w:t>
      </w:r>
      <w:r w:rsidR="00E841DE">
        <w:t xml:space="preserve"> has </w:t>
      </w:r>
      <w:r w:rsidR="00E841DE" w:rsidRPr="00365764">
        <w:rPr>
          <w:i/>
        </w:rPr>
        <w:t>“clarity or intelligibility,”</w:t>
      </w:r>
      <w:r w:rsidR="00E841DE">
        <w:t xml:space="preserve"> and has </w:t>
      </w:r>
      <w:r w:rsidR="00E841DE" w:rsidRPr="00365764">
        <w:rPr>
          <w:i/>
        </w:rPr>
        <w:t>“the quality of holding together or cohering.</w:t>
      </w:r>
      <w:r w:rsidR="00365764">
        <w:rPr>
          <w:i/>
        </w:rPr>
        <w:t>”</w:t>
      </w:r>
      <w:r w:rsidR="00E841DE">
        <w:t xml:space="preserve"> </w:t>
      </w:r>
    </w:p>
    <w:p w14:paraId="245FFDCD" w14:textId="77777777" w:rsidR="00E841DE" w:rsidRDefault="00E841DE" w:rsidP="00E841DE"/>
    <w:p w14:paraId="1DA64CF1" w14:textId="755DA7F2" w:rsidR="00E841DE" w:rsidRDefault="00E841DE" w:rsidP="00E841DE">
      <w:pPr>
        <w:rPr>
          <w:i/>
        </w:rPr>
      </w:pPr>
      <w:r>
        <w:t xml:space="preserve">So, how do writers of argumentative papers achieve coherence? </w:t>
      </w:r>
      <w:r w:rsidR="00365764">
        <w:t xml:space="preserve">One way is by using </w:t>
      </w:r>
      <w:r w:rsidR="00365764">
        <w:rPr>
          <w:b/>
        </w:rPr>
        <w:t>rhetoric</w:t>
      </w:r>
      <w:r w:rsidR="00365764">
        <w:t xml:space="preserve">. What is rhetoric? Rhetoric is an idea about language that goes all the way back to the ancient world. Merriam-Webster’s, once again, defines rhetoric at some length: </w:t>
      </w:r>
      <w:r w:rsidR="00365764">
        <w:rPr>
          <w:i/>
        </w:rPr>
        <w:t>“the art of speaking or writing effectively: as the study of principles and rules of composition formulated by critic</w:t>
      </w:r>
      <w:r w:rsidR="00A60995">
        <w:rPr>
          <w:i/>
        </w:rPr>
        <w:t>s</w:t>
      </w:r>
      <w:bookmarkStart w:id="0" w:name="_GoBack"/>
      <w:bookmarkEnd w:id="0"/>
      <w:r w:rsidR="00365764">
        <w:rPr>
          <w:i/>
        </w:rPr>
        <w:t xml:space="preserve"> of ancient times; the study of writing or speaking as a means of communication or persuasion.”</w:t>
      </w:r>
    </w:p>
    <w:p w14:paraId="0C45AE56" w14:textId="77777777" w:rsidR="00FE43F7" w:rsidRDefault="00FE43F7" w:rsidP="00E841DE">
      <w:pPr>
        <w:rPr>
          <w:i/>
        </w:rPr>
      </w:pPr>
    </w:p>
    <w:p w14:paraId="683DDFF9" w14:textId="1B9E6DFD" w:rsidR="00FE43F7" w:rsidRDefault="00FE43F7" w:rsidP="00E841DE">
      <w:pPr>
        <w:rPr>
          <w:i/>
        </w:rPr>
      </w:pPr>
      <w:r>
        <w:t xml:space="preserve">In our last lesson you learned that the noun </w:t>
      </w:r>
      <w:r>
        <w:rPr>
          <w:i/>
        </w:rPr>
        <w:t xml:space="preserve">discourse </w:t>
      </w:r>
      <w:r>
        <w:t xml:space="preserve">means, for the purposes of the work we are doing on argumentation, both </w:t>
      </w:r>
      <w:r w:rsidRPr="00FE43F7">
        <w:rPr>
          <w:i/>
        </w:rPr>
        <w:t>formal and orderly and usually extended expression of thought on a subject</w:t>
      </w:r>
      <w:r>
        <w:t xml:space="preserve"> as well as </w:t>
      </w:r>
      <w:r w:rsidRPr="00FE43F7">
        <w:rPr>
          <w:i/>
        </w:rPr>
        <w:t>a mode of organizing knowledge, ideas, or experience that is rooted in language and its concrete contexts.</w:t>
      </w:r>
    </w:p>
    <w:p w14:paraId="27EE399C" w14:textId="77777777" w:rsidR="00FE43F7" w:rsidRDefault="00FE43F7" w:rsidP="00E841DE">
      <w:pPr>
        <w:rPr>
          <w:i/>
        </w:rPr>
      </w:pPr>
    </w:p>
    <w:p w14:paraId="7924E013" w14:textId="363FA195" w:rsidR="00FE43F7" w:rsidRDefault="00FE43F7" w:rsidP="00E841DE">
      <w:r>
        <w:t xml:space="preserve">The purpose of today’s lesson is to provide you with some basic rhetorical figures used in argumentation along with some short discourses with which to try them out. Now that we’ve gotten that out of the way, let’s begin with today’s work, which are some verbal templates that </w:t>
      </w:r>
      <w:r w:rsidR="0084741E">
        <w:t>allow you to enter a scholarly discourse—which is of course what you are engaged in anytime you set out to write a paper—by summarizing</w:t>
      </w:r>
      <w:r w:rsidR="00EA392C">
        <w:t xml:space="preserve"> the current state of that discourse.</w:t>
      </w:r>
    </w:p>
    <w:p w14:paraId="76BFC6EE" w14:textId="77777777" w:rsidR="00EA392C" w:rsidRDefault="00EA392C" w:rsidP="00E841DE"/>
    <w:p w14:paraId="42269431" w14:textId="247DB791" w:rsidR="00EA392C" w:rsidRPr="00EA392C" w:rsidRDefault="00EA392C" w:rsidP="00E841DE">
      <w:r>
        <w:t xml:space="preserve">So, we’ll start with several rhetorical templates from the book that informs the work in this unit and its lessons, Gerald Graff and Cathy Birkenstein’s </w:t>
      </w:r>
      <w:r>
        <w:rPr>
          <w:i/>
        </w:rPr>
        <w:t xml:space="preserve">The Say/ISay: The Moves That Matter in Academic Writing </w:t>
      </w:r>
      <w:r>
        <w:t>(2</w:t>
      </w:r>
      <w:r w:rsidRPr="00EA392C">
        <w:rPr>
          <w:vertAlign w:val="superscript"/>
        </w:rPr>
        <w:t>nd</w:t>
      </w:r>
      <w:r>
        <w:t xml:space="preserve"> ed. New York: Norton, 2010). These templates illustrate the </w:t>
      </w:r>
      <w:r>
        <w:rPr>
          <w:i/>
        </w:rPr>
        <w:t>They Say</w:t>
      </w:r>
      <w:r>
        <w:t xml:space="preserve"> in the title: simply put, you will use these rhetorical figures to summarize the state of the research or discourse, or both, on any given subject.</w:t>
      </w:r>
    </w:p>
    <w:p w14:paraId="7013E261" w14:textId="7DFF98AC" w:rsidR="00EE028A" w:rsidRDefault="00EE028A">
      <w:pPr>
        <w:rPr>
          <w:b/>
        </w:rPr>
      </w:pPr>
    </w:p>
    <w:p w14:paraId="49C69111" w14:textId="77777777" w:rsidR="00F3038B" w:rsidRDefault="00F3038B" w:rsidP="00F3038B">
      <w:pPr>
        <w:pStyle w:val="ListParagraph"/>
        <w:numPr>
          <w:ilvl w:val="0"/>
          <w:numId w:val="3"/>
        </w:numPr>
        <w:rPr>
          <w:b/>
        </w:rPr>
      </w:pPr>
      <w:r>
        <w:rPr>
          <w:b/>
        </w:rPr>
        <w:t>Introducing What “They Say”</w:t>
      </w:r>
    </w:p>
    <w:p w14:paraId="61B80BBF" w14:textId="77777777" w:rsidR="00F3038B" w:rsidRPr="00303067" w:rsidRDefault="00F3038B" w:rsidP="00F3038B">
      <w:pPr>
        <w:pStyle w:val="ListParagraph"/>
        <w:numPr>
          <w:ilvl w:val="0"/>
          <w:numId w:val="4"/>
        </w:numPr>
        <w:rPr>
          <w:b/>
        </w:rPr>
      </w:pPr>
      <w:r>
        <w:t>A number of ______ have recently suggested that ______.</w:t>
      </w:r>
    </w:p>
    <w:p w14:paraId="6CA77EAB" w14:textId="77777777" w:rsidR="00F3038B" w:rsidRPr="00303067" w:rsidRDefault="00F3038B" w:rsidP="00F3038B">
      <w:pPr>
        <w:pStyle w:val="ListParagraph"/>
        <w:numPr>
          <w:ilvl w:val="0"/>
          <w:numId w:val="4"/>
        </w:numPr>
        <w:rPr>
          <w:b/>
        </w:rPr>
      </w:pPr>
      <w:r>
        <w:t>It has become common today to dismiss _____.</w:t>
      </w:r>
    </w:p>
    <w:p w14:paraId="70B34F9E" w14:textId="77777777" w:rsidR="00F3038B" w:rsidRPr="00CE2FC3" w:rsidRDefault="00F3038B" w:rsidP="00F3038B">
      <w:pPr>
        <w:pStyle w:val="ListParagraph"/>
        <w:numPr>
          <w:ilvl w:val="0"/>
          <w:numId w:val="4"/>
        </w:numPr>
        <w:rPr>
          <w:b/>
        </w:rPr>
      </w:pPr>
      <w:r>
        <w:t>In their recent work, Y and Z</w:t>
      </w:r>
      <w:r w:rsidRPr="00CE2FC3">
        <w:t xml:space="preserve"> have offered harsh critiques of _____ for _____.</w:t>
      </w:r>
    </w:p>
    <w:p w14:paraId="2A025703" w14:textId="77777777" w:rsidR="00F3038B" w:rsidRPr="00303067" w:rsidRDefault="00F3038B" w:rsidP="00F3038B">
      <w:pPr>
        <w:rPr>
          <w:rFonts w:cs="Times New Roman"/>
          <w:b/>
        </w:rPr>
      </w:pPr>
    </w:p>
    <w:p w14:paraId="36D0D63F" w14:textId="77777777" w:rsidR="00F3038B" w:rsidRDefault="00F3038B" w:rsidP="00F3038B">
      <w:pPr>
        <w:pStyle w:val="ListParagraph"/>
        <w:numPr>
          <w:ilvl w:val="0"/>
          <w:numId w:val="3"/>
        </w:numPr>
        <w:rPr>
          <w:b/>
        </w:rPr>
      </w:pPr>
      <w:r>
        <w:rPr>
          <w:b/>
        </w:rPr>
        <w:t>Introducing “Standard Views”</w:t>
      </w:r>
    </w:p>
    <w:p w14:paraId="273849D8" w14:textId="56CD7824" w:rsidR="00E81EC0" w:rsidRPr="00E81EC0" w:rsidRDefault="00E81EC0" w:rsidP="00E81EC0">
      <w:pPr>
        <w:pStyle w:val="ListParagraph"/>
        <w:numPr>
          <w:ilvl w:val="0"/>
          <w:numId w:val="6"/>
        </w:numPr>
        <w:rPr>
          <w:b/>
        </w:rPr>
      </w:pPr>
      <w:r>
        <w:t>Americans today tend to believe that _____.</w:t>
      </w:r>
    </w:p>
    <w:p w14:paraId="3575B584" w14:textId="77777777" w:rsidR="00E81EC0" w:rsidRPr="00CE2FC3" w:rsidRDefault="00E81EC0" w:rsidP="00E81EC0">
      <w:pPr>
        <w:pStyle w:val="ListParagraph"/>
        <w:numPr>
          <w:ilvl w:val="0"/>
          <w:numId w:val="6"/>
        </w:numPr>
        <w:rPr>
          <w:b/>
        </w:rPr>
      </w:pPr>
      <w:r>
        <w:t>Conventional wisdom has it that _____.</w:t>
      </w:r>
    </w:p>
    <w:p w14:paraId="7FC15ED1" w14:textId="77777777" w:rsidR="00E81EC0" w:rsidRPr="004D1566" w:rsidRDefault="00E81EC0" w:rsidP="00E81EC0">
      <w:pPr>
        <w:pStyle w:val="ListParagraph"/>
        <w:numPr>
          <w:ilvl w:val="0"/>
          <w:numId w:val="6"/>
        </w:numPr>
        <w:rPr>
          <w:b/>
        </w:rPr>
      </w:pPr>
      <w:r>
        <w:t>Common sense seems to dictate that _____.</w:t>
      </w:r>
    </w:p>
    <w:p w14:paraId="385F7E46" w14:textId="77777777" w:rsidR="00E81EC0" w:rsidRPr="004D1566" w:rsidRDefault="00E81EC0" w:rsidP="00E81EC0">
      <w:pPr>
        <w:pStyle w:val="ListParagraph"/>
        <w:numPr>
          <w:ilvl w:val="0"/>
          <w:numId w:val="6"/>
        </w:numPr>
        <w:rPr>
          <w:b/>
        </w:rPr>
      </w:pPr>
      <w:r>
        <w:t>The standard way of thinking about topic X has it that _____.</w:t>
      </w:r>
    </w:p>
    <w:p w14:paraId="427C1121" w14:textId="77777777" w:rsidR="00E81EC0" w:rsidRPr="004D1566" w:rsidRDefault="00E81EC0" w:rsidP="00E81EC0">
      <w:pPr>
        <w:pStyle w:val="ListParagraph"/>
        <w:numPr>
          <w:ilvl w:val="0"/>
          <w:numId w:val="6"/>
        </w:numPr>
        <w:rPr>
          <w:b/>
        </w:rPr>
      </w:pPr>
      <w:r>
        <w:t>It is often said that _____.</w:t>
      </w:r>
    </w:p>
    <w:p w14:paraId="2CAA06B1" w14:textId="77777777" w:rsidR="00E81EC0" w:rsidRPr="004D1566" w:rsidRDefault="00E81EC0" w:rsidP="00E81EC0">
      <w:pPr>
        <w:pStyle w:val="ListParagraph"/>
        <w:numPr>
          <w:ilvl w:val="0"/>
          <w:numId w:val="6"/>
        </w:numPr>
        <w:rPr>
          <w:b/>
        </w:rPr>
      </w:pPr>
      <w:r>
        <w:t>My whole life I have heard it said that _____.</w:t>
      </w:r>
    </w:p>
    <w:p w14:paraId="11CF76C4" w14:textId="77777777" w:rsidR="00E81EC0" w:rsidRPr="004D1566" w:rsidRDefault="00E81EC0" w:rsidP="00E81EC0">
      <w:pPr>
        <w:pStyle w:val="ListParagraph"/>
        <w:numPr>
          <w:ilvl w:val="0"/>
          <w:numId w:val="6"/>
        </w:numPr>
        <w:rPr>
          <w:b/>
        </w:rPr>
      </w:pPr>
      <w:r>
        <w:t>You would think that _____.</w:t>
      </w:r>
    </w:p>
    <w:p w14:paraId="5F0BF519" w14:textId="77777777" w:rsidR="00E81EC0" w:rsidRPr="00650346" w:rsidRDefault="00E81EC0" w:rsidP="00E81EC0">
      <w:pPr>
        <w:pStyle w:val="ListParagraph"/>
        <w:numPr>
          <w:ilvl w:val="0"/>
          <w:numId w:val="6"/>
        </w:numPr>
        <w:rPr>
          <w:b/>
        </w:rPr>
      </w:pPr>
      <w:r w:rsidRPr="004D1566">
        <w:t>Many people assume that _____.</w:t>
      </w:r>
    </w:p>
    <w:p w14:paraId="1D9DBE87" w14:textId="77777777" w:rsidR="00650346" w:rsidRDefault="00650346" w:rsidP="00650346">
      <w:pPr>
        <w:rPr>
          <w:b/>
        </w:rPr>
      </w:pPr>
    </w:p>
    <w:p w14:paraId="3F0374A0" w14:textId="77777777" w:rsidR="00650346" w:rsidRDefault="00650346" w:rsidP="00650346">
      <w:pPr>
        <w:rPr>
          <w:b/>
        </w:rPr>
      </w:pPr>
    </w:p>
    <w:p w14:paraId="029DF1D3" w14:textId="77777777" w:rsidR="00650346" w:rsidRDefault="00650346" w:rsidP="00650346">
      <w:pPr>
        <w:rPr>
          <w:b/>
        </w:rPr>
      </w:pPr>
    </w:p>
    <w:p w14:paraId="0052DB03" w14:textId="77777777" w:rsidR="00650346" w:rsidRDefault="00650346" w:rsidP="00650346">
      <w:pPr>
        <w:rPr>
          <w:b/>
        </w:rPr>
      </w:pPr>
    </w:p>
    <w:p w14:paraId="05A8ADC7" w14:textId="77777777" w:rsidR="00650346" w:rsidRPr="00650346" w:rsidRDefault="00650346" w:rsidP="00650346">
      <w:pPr>
        <w:rPr>
          <w:b/>
        </w:rPr>
      </w:pPr>
    </w:p>
    <w:p w14:paraId="1173AAD2" w14:textId="77777777" w:rsidR="00E81EC0" w:rsidRPr="00E81EC0" w:rsidRDefault="00E81EC0" w:rsidP="00E81EC0">
      <w:pPr>
        <w:rPr>
          <w:b/>
        </w:rPr>
      </w:pPr>
    </w:p>
    <w:p w14:paraId="13666D28" w14:textId="77777777" w:rsidR="00E81EC0" w:rsidRDefault="00E81EC0" w:rsidP="00E81EC0">
      <w:pPr>
        <w:rPr>
          <w:b/>
        </w:rPr>
      </w:pPr>
    </w:p>
    <w:p w14:paraId="59D0432C" w14:textId="77777777" w:rsidR="00E81EC0" w:rsidRDefault="00E81EC0" w:rsidP="00E81EC0">
      <w:pPr>
        <w:rPr>
          <w:b/>
        </w:rPr>
      </w:pPr>
    </w:p>
    <w:p w14:paraId="331F71CC" w14:textId="77777777" w:rsidR="00650346" w:rsidRDefault="00650346" w:rsidP="00E81EC0">
      <w:pPr>
        <w:rPr>
          <w:b/>
        </w:rPr>
      </w:pPr>
    </w:p>
    <w:p w14:paraId="25ADD8A3" w14:textId="77777777" w:rsidR="00E81EC0" w:rsidRDefault="00E81EC0" w:rsidP="00E81EC0">
      <w:pPr>
        <w:rPr>
          <w:b/>
        </w:rPr>
      </w:pPr>
    </w:p>
    <w:p w14:paraId="2679CDC8" w14:textId="7A97F907" w:rsidR="00DA3389" w:rsidRPr="00650346" w:rsidRDefault="00E81EC0" w:rsidP="00E81EC0">
      <w:pPr>
        <w:pStyle w:val="ListParagraph"/>
        <w:numPr>
          <w:ilvl w:val="0"/>
          <w:numId w:val="3"/>
        </w:numPr>
        <w:rPr>
          <w:b/>
        </w:rPr>
      </w:pPr>
      <w:r>
        <w:rPr>
          <w:b/>
        </w:rPr>
        <w:lastRenderedPageBreak/>
        <w:t xml:space="preserve">Texts: </w:t>
      </w:r>
      <w:r w:rsidR="00650346">
        <w:t xml:space="preserve">Using the rhetorical figures on the previous page, summarize the positions of the current discourse on the issues raised in the excerpts from scholarly articles below. </w:t>
      </w:r>
    </w:p>
    <w:p w14:paraId="12165109" w14:textId="77777777" w:rsidR="00650346" w:rsidRDefault="00650346" w:rsidP="00650346">
      <w:pPr>
        <w:rPr>
          <w:b/>
        </w:rPr>
      </w:pPr>
    </w:p>
    <w:p w14:paraId="63858E47" w14:textId="09537166" w:rsidR="00650346" w:rsidRDefault="00650346" w:rsidP="00650346">
      <w:pPr>
        <w:pStyle w:val="ListParagraph"/>
        <w:numPr>
          <w:ilvl w:val="0"/>
          <w:numId w:val="7"/>
        </w:numPr>
      </w:pPr>
      <w:r>
        <w:t>“There were two powerful reasons why the negotiations for the Iran deal did not cover ballistic missiles, support of terrorists, or other issues on which American and Iranian interests clash. Sanctions brought Iran to the table, but what made the difference was that they were not just multilateral but nearly universal. Major non-Western purchasers of Iranian oil like Japan and India were persuaded to find alternative suppliers. But this unanimity, which rests on decades of building international norms, treaties, and institutions to halt nuclear proliferation, does not extend to any other issue. Also, as former secretary of state John Kerry has recently pointed out, putting more issues on the table would have multiplied the number of tradeoffs in play, thereby weakening the purely nuclear provisions. The stron</w:t>
      </w:r>
      <w:r w:rsidR="006E79B4">
        <w:t>gest nuclear deal comes from an</w:t>
      </w:r>
      <w:r>
        <w:t xml:space="preserve"> undiluted focus on the nuclear issues.”</w:t>
      </w:r>
    </w:p>
    <w:p w14:paraId="2C39AAA3" w14:textId="77777777" w:rsidR="00650346" w:rsidRDefault="00650346" w:rsidP="00650346">
      <w:pPr>
        <w:pStyle w:val="ListParagraph"/>
        <w:ind w:left="1440"/>
      </w:pPr>
    </w:p>
    <w:p w14:paraId="1FFA130A" w14:textId="77777777" w:rsidR="00650346" w:rsidRDefault="00650346" w:rsidP="00650346">
      <w:pPr>
        <w:pStyle w:val="ListParagraph"/>
        <w:ind w:left="1440"/>
      </w:pPr>
      <w:r>
        <w:t xml:space="preserve">Mathews, Jessica T. “The Iran Deal: What’s at Stake.” </w:t>
      </w:r>
      <w:r w:rsidRPr="00B15364">
        <w:rPr>
          <w:i/>
        </w:rPr>
        <w:t xml:space="preserve">The New York Review of Books </w:t>
      </w:r>
      <w:r>
        <w:t>LXIV.18 (2017): 25. Print.</w:t>
      </w:r>
    </w:p>
    <w:p w14:paraId="3061A6D6" w14:textId="77777777" w:rsidR="00650346" w:rsidRDefault="00650346" w:rsidP="00650346">
      <w:pPr>
        <w:ind w:left="1440"/>
      </w:pPr>
    </w:p>
    <w:p w14:paraId="76907C36" w14:textId="77777777" w:rsidR="00650346" w:rsidRDefault="00650346" w:rsidP="00650346"/>
    <w:p w14:paraId="00F9B1F5" w14:textId="77777777" w:rsidR="00650346" w:rsidRDefault="00650346" w:rsidP="00650346">
      <w:pPr>
        <w:pStyle w:val="ListParagraph"/>
        <w:numPr>
          <w:ilvl w:val="0"/>
          <w:numId w:val="7"/>
        </w:numPr>
      </w:pPr>
      <w:r>
        <w:t>“Since US troops could rarely find the enemy, much less ‘take and hold’ the vast jungles of the highlands, his strategy was to deploy small American units to serve as ‘bait’ for North Vietnamese attacks and then kill the enemy with artillery and air strikes. The ‘body count’—or the ‘kill ratio’—became the standard measure for whether progress was being made. As a result, commanders on the ground often inflated the number of enemy soldiers killed to please their superiors, who in turn inflated the figures even more. Meanwhile many American combat troops were killed and wounded.”</w:t>
      </w:r>
    </w:p>
    <w:p w14:paraId="3B53ED42" w14:textId="77777777" w:rsidR="00650346" w:rsidRDefault="00650346" w:rsidP="00650346">
      <w:pPr>
        <w:pStyle w:val="ListParagraph"/>
        <w:ind w:left="1440"/>
      </w:pPr>
    </w:p>
    <w:p w14:paraId="00FF1DAD" w14:textId="77777777" w:rsidR="00650346" w:rsidRDefault="00650346" w:rsidP="00650346">
      <w:pPr>
        <w:pStyle w:val="ListParagraph"/>
        <w:ind w:left="1440"/>
      </w:pPr>
      <w:r>
        <w:t xml:space="preserve">Fitzgerald, Frances. “The Pity of It All.” </w:t>
      </w:r>
      <w:r w:rsidRPr="00B15364">
        <w:rPr>
          <w:i/>
        </w:rPr>
        <w:t xml:space="preserve">The New York Review of Books </w:t>
      </w:r>
      <w:r>
        <w:t>LXIV.18 (2017): 30. Print.</w:t>
      </w:r>
    </w:p>
    <w:p w14:paraId="5B8B9EA8" w14:textId="77777777" w:rsidR="00650346" w:rsidRDefault="00650346" w:rsidP="00650346">
      <w:pPr>
        <w:ind w:left="1440"/>
      </w:pPr>
    </w:p>
    <w:p w14:paraId="750024B2" w14:textId="77777777" w:rsidR="00650346" w:rsidRDefault="00650346" w:rsidP="00650346">
      <w:pPr>
        <w:pStyle w:val="ListParagraph"/>
        <w:numPr>
          <w:ilvl w:val="0"/>
          <w:numId w:val="7"/>
        </w:numPr>
      </w:pPr>
      <w:r>
        <w:t>“Most of us who grow up in the United States learn a reassuring narrative of ever-expanding tolerance. Yes, the country’s birth was tainted with the original sin of slavery, but Lincoln freed the slaves, the Supreme Court desegregated schools, and we finally elected a black president. The Founding Fathers may have all been men, but in their wisdom they created a constitution that would later allow woment to gain the vote. And now the legal definition of marriage has broadened to include gays and lesbians. We are, it appears, an increasingly inclusive nation.”</w:t>
      </w:r>
    </w:p>
    <w:p w14:paraId="1DC1BFBD" w14:textId="77777777" w:rsidR="00650346" w:rsidRDefault="00650346" w:rsidP="00650346">
      <w:pPr>
        <w:pStyle w:val="ListParagraph"/>
        <w:ind w:left="1440"/>
      </w:pPr>
    </w:p>
    <w:p w14:paraId="333988DD" w14:textId="7CD61DA5" w:rsidR="00650346" w:rsidRDefault="00650346" w:rsidP="00650346">
      <w:pPr>
        <w:pStyle w:val="ListParagraph"/>
        <w:ind w:left="1440"/>
      </w:pPr>
      <w:r>
        <w:t xml:space="preserve">Hochschild, Adam. “Ku Klux Klambakes.” </w:t>
      </w:r>
      <w:r w:rsidRPr="001F3BEF">
        <w:rPr>
          <w:i/>
        </w:rPr>
        <w:t xml:space="preserve">The New York Review of Books </w:t>
      </w:r>
      <w:r>
        <w:t>LXIV.19 (2017): 16. Print.</w:t>
      </w:r>
    </w:p>
    <w:p w14:paraId="2DDD2247" w14:textId="77777777" w:rsidR="00650346" w:rsidRDefault="00650346" w:rsidP="00650346"/>
    <w:p w14:paraId="4A1FA8AD" w14:textId="77777777" w:rsidR="00650346" w:rsidRDefault="00650346" w:rsidP="00650346">
      <w:pPr>
        <w:pStyle w:val="ListParagraph"/>
        <w:numPr>
          <w:ilvl w:val="0"/>
          <w:numId w:val="7"/>
        </w:numPr>
      </w:pPr>
      <w:r>
        <w:t xml:space="preserve">“Mitchell Cohen’s </w:t>
      </w:r>
      <w:r w:rsidRPr="00650346">
        <w:rPr>
          <w:i/>
        </w:rPr>
        <w:t>The Politics of Opera: A History from Monteverdi to Mozart</w:t>
      </w:r>
      <w:r>
        <w:t xml:space="preserve"> has boldly placed Machiavelli and early modern political theory at the center of the early history of opera, reflecting creatively on the ways in which the reverberations of the great Florentine realist reached into the musical realm. For just as the </w:t>
      </w:r>
      <w:r w:rsidRPr="00650346">
        <w:rPr>
          <w:i/>
        </w:rPr>
        <w:t>The Prince</w:t>
      </w:r>
      <w:r>
        <w:t xml:space="preserve"> was presented as a precious gift precisely because it described and prescribed the conduct of princes, so the operas of the seventeenth and eighteenth centuries placed princes on the state and let them sing their political circumstances.”</w:t>
      </w:r>
    </w:p>
    <w:p w14:paraId="29D8859C" w14:textId="77777777" w:rsidR="00650346" w:rsidRDefault="00650346" w:rsidP="00650346">
      <w:pPr>
        <w:pStyle w:val="ListParagraph"/>
        <w:ind w:left="1440"/>
      </w:pPr>
    </w:p>
    <w:p w14:paraId="1DD5B048" w14:textId="77777777" w:rsidR="00650346" w:rsidRDefault="00650346" w:rsidP="00650346">
      <w:pPr>
        <w:pStyle w:val="ListParagraph"/>
        <w:ind w:left="1440"/>
      </w:pPr>
      <w:r>
        <w:t xml:space="preserve">Wolff, Larry. “All the World’s a Stage.” </w:t>
      </w:r>
      <w:r w:rsidRPr="0027580D">
        <w:rPr>
          <w:i/>
        </w:rPr>
        <w:t xml:space="preserve">The New York Review of Books </w:t>
      </w:r>
      <w:r>
        <w:t>LXIV.19 (2017): 23. Print.</w:t>
      </w:r>
    </w:p>
    <w:p w14:paraId="7AC27CD6" w14:textId="77777777" w:rsidR="00650346" w:rsidRDefault="00650346" w:rsidP="00650346">
      <w:pPr>
        <w:ind w:left="1440"/>
      </w:pPr>
    </w:p>
    <w:p w14:paraId="4E930F24" w14:textId="77777777" w:rsidR="00650346" w:rsidRDefault="00650346" w:rsidP="00650346"/>
    <w:p w14:paraId="7AB8C7CB" w14:textId="77777777" w:rsidR="00650346" w:rsidRDefault="00650346" w:rsidP="00650346"/>
    <w:p w14:paraId="47959815" w14:textId="77777777" w:rsidR="00650346" w:rsidRDefault="00650346" w:rsidP="00650346">
      <w:pPr>
        <w:pStyle w:val="ListParagraph"/>
        <w:numPr>
          <w:ilvl w:val="0"/>
          <w:numId w:val="7"/>
        </w:numPr>
      </w:pPr>
      <w:r>
        <w:t>“I grew up in the 1950s, an era when many believed that that our society would inevitably progress toward ever greater economic equality. Desperate poverty would recede, it was assumed, as new federal programs addressed the needs of those at the very bottom of the ladder and as economic growth created new jobs. The average CEO at the time earned only twenty times as much as the average worker, and during the Eisenhower administration the marginal tax rate on the highest earners was 91 percent. Today, the goal of equality appears to be receding. The top marginal tax rate is only 39 percent, far below what it was during the Eisenhower years, and most Republicans would like to lower it even more. Employers now make 271 times as much as the average worker, and half the children in American schools are officially classified by the federal government as low-income and eligible for free or reduced-price lunch. Union membership peaked in the mid-1950s and has declined ever since; the largest unions today are in the public sector and only about 7 percent of private sector workers belong to a union.”</w:t>
      </w:r>
    </w:p>
    <w:p w14:paraId="451B472D" w14:textId="77777777" w:rsidR="00650346" w:rsidRDefault="00650346" w:rsidP="00650346"/>
    <w:p w14:paraId="7AB677B5" w14:textId="77777777" w:rsidR="00650346" w:rsidRPr="00913B06" w:rsidRDefault="00650346" w:rsidP="00650346">
      <w:pPr>
        <w:pStyle w:val="ListParagraph"/>
        <w:ind w:left="1440"/>
        <w:rPr>
          <w:b/>
        </w:rPr>
      </w:pPr>
      <w:r>
        <w:t xml:space="preserve">Ravitch, Diane. “Big Money Rules.” </w:t>
      </w:r>
      <w:r w:rsidRPr="00A43B01">
        <w:rPr>
          <w:i/>
        </w:rPr>
        <w:t xml:space="preserve">The New York Review of Books </w:t>
      </w:r>
      <w:r>
        <w:t>LXIV.19 (2017): 29. Print.</w:t>
      </w:r>
    </w:p>
    <w:p w14:paraId="4454CF35" w14:textId="77777777" w:rsidR="00650346" w:rsidRDefault="00650346" w:rsidP="00650346"/>
    <w:p w14:paraId="40AAAAF5" w14:textId="77777777" w:rsidR="00650346" w:rsidRDefault="00650346" w:rsidP="00650346">
      <w:pPr>
        <w:pStyle w:val="ListParagraph"/>
        <w:numPr>
          <w:ilvl w:val="0"/>
          <w:numId w:val="7"/>
        </w:numPr>
      </w:pPr>
      <w:r>
        <w:t>“Anyone who follows the news will be aware that the sacred book of Islam is the Qur’an (known to Muslims as the Noble Qur’an), or, as it was named for centuries in English, the Koran. The militants of al-Qaeda and ISIS proclaim their allegiance to this fundamental text of their religion with the same fervor and ignorance as the Christian Crusaders when they quoted the Bible. In a work of rare courage and humility, Garry Wills has brought the horrors of the Crusades into confrontation with the horrors of the Islamic State, in full recognition that Christian and Muslim warriors are alike in their deliberate repudiation of the basic tenets of the religions they profess.”</w:t>
      </w:r>
    </w:p>
    <w:p w14:paraId="72805650" w14:textId="77777777" w:rsidR="00650346" w:rsidRPr="00913B06" w:rsidRDefault="00650346" w:rsidP="00650346">
      <w:pPr>
        <w:pStyle w:val="ListParagraph"/>
        <w:ind w:left="1440"/>
      </w:pPr>
    </w:p>
    <w:p w14:paraId="46F2FA7D" w14:textId="77777777" w:rsidR="00650346" w:rsidRDefault="00650346" w:rsidP="00650346">
      <w:pPr>
        <w:pStyle w:val="ListParagraph"/>
        <w:ind w:left="1440"/>
      </w:pPr>
      <w:r>
        <w:t xml:space="preserve">Bowersock, G.W. “The Voice of God.” </w:t>
      </w:r>
      <w:r w:rsidRPr="00913B06">
        <w:rPr>
          <w:i/>
        </w:rPr>
        <w:t xml:space="preserve">The New York Review of Books </w:t>
      </w:r>
      <w:r>
        <w:t>LXIV.19 (2017): 39. Print.</w:t>
      </w:r>
    </w:p>
    <w:p w14:paraId="4FD9B65F" w14:textId="2FC57AE7" w:rsidR="00650346" w:rsidRPr="00650346" w:rsidRDefault="00650346" w:rsidP="00650346">
      <w:pPr>
        <w:pStyle w:val="ListParagraph"/>
        <w:ind w:left="1440"/>
        <w:rPr>
          <w:b/>
        </w:rPr>
      </w:pPr>
    </w:p>
    <w:p w14:paraId="2136A1B6" w14:textId="77777777" w:rsidR="00DA3389" w:rsidRDefault="00DA3389" w:rsidP="00DA3389">
      <w:pPr>
        <w:rPr>
          <w:b/>
        </w:rPr>
      </w:pPr>
    </w:p>
    <w:p w14:paraId="08DAB7B7" w14:textId="77777777" w:rsidR="00F3038B" w:rsidRPr="00EE028A" w:rsidRDefault="00F3038B">
      <w:pPr>
        <w:rPr>
          <w:b/>
        </w:rPr>
      </w:pPr>
    </w:p>
    <w:sectPr w:rsidR="00F3038B" w:rsidRPr="00EE028A" w:rsidSect="00E7713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80"/>
    <w:family w:val="roman"/>
    <w:pitch w:val="fixed"/>
    <w:sig w:usb0="E00002FF" w:usb1="6AC7FDFB" w:usb2="08000012" w:usb3="00000000" w:csb0="0002009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165EF"/>
    <w:multiLevelType w:val="hybridMultilevel"/>
    <w:tmpl w:val="28A0C90A"/>
    <w:lvl w:ilvl="0" w:tplc="C6ECFB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86097C"/>
    <w:multiLevelType w:val="hybridMultilevel"/>
    <w:tmpl w:val="3AC270D8"/>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3339584A"/>
    <w:multiLevelType w:val="hybridMultilevel"/>
    <w:tmpl w:val="AE7E942E"/>
    <w:lvl w:ilvl="0" w:tplc="AA9C9A4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6085AA3"/>
    <w:multiLevelType w:val="hybridMultilevel"/>
    <w:tmpl w:val="AF70E780"/>
    <w:lvl w:ilvl="0" w:tplc="97425388">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D9E6138"/>
    <w:multiLevelType w:val="hybridMultilevel"/>
    <w:tmpl w:val="90A8E1D8"/>
    <w:lvl w:ilvl="0" w:tplc="05F838A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64F726B5"/>
    <w:multiLevelType w:val="hybridMultilevel"/>
    <w:tmpl w:val="B65209EA"/>
    <w:lvl w:ilvl="0" w:tplc="96AA781E">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0"/>
  </w:num>
  <w:num w:numId="4">
    <w:abstractNumId w:val="4"/>
  </w:num>
  <w:num w:numId="5">
    <w:abstractNumId w:val="2"/>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565C7"/>
    <w:rsid w:val="0018352C"/>
    <w:rsid w:val="001C4804"/>
    <w:rsid w:val="002B3D40"/>
    <w:rsid w:val="00365764"/>
    <w:rsid w:val="00650346"/>
    <w:rsid w:val="00664B1D"/>
    <w:rsid w:val="006D2DE5"/>
    <w:rsid w:val="006E79B4"/>
    <w:rsid w:val="00783BE7"/>
    <w:rsid w:val="0084741E"/>
    <w:rsid w:val="00912D86"/>
    <w:rsid w:val="00955468"/>
    <w:rsid w:val="00995445"/>
    <w:rsid w:val="00A60995"/>
    <w:rsid w:val="00B72FF9"/>
    <w:rsid w:val="00CE0178"/>
    <w:rsid w:val="00D83738"/>
    <w:rsid w:val="00DA3389"/>
    <w:rsid w:val="00E77132"/>
    <w:rsid w:val="00E81EC0"/>
    <w:rsid w:val="00E841DE"/>
    <w:rsid w:val="00EA392C"/>
    <w:rsid w:val="00EC5968"/>
    <w:rsid w:val="00EE028A"/>
    <w:rsid w:val="00F3038B"/>
    <w:rsid w:val="00FE43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23C223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E841DE"/>
    <w:pPr>
      <w:ind w:left="720"/>
      <w:contextualSpacing/>
    </w:pPr>
    <w:rPr>
      <w:rFonts w:eastAsia="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1190</Words>
  <Characters>6785</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22</cp:revision>
  <dcterms:created xsi:type="dcterms:W3CDTF">2012-08-13T12:26:00Z</dcterms:created>
  <dcterms:modified xsi:type="dcterms:W3CDTF">2017-12-21T13:24:00Z</dcterms:modified>
</cp:coreProperties>
</file>